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B687" w14:textId="33014B7F" w:rsidR="0090547B" w:rsidRDefault="003318FE" w:rsidP="003318FE">
      <w:pPr>
        <w:rPr>
          <w:rFonts w:ascii="Arial" w:hAnsi="Arial" w:cs="Arial"/>
          <w:sz w:val="22"/>
          <w:szCs w:val="22"/>
        </w:rPr>
      </w:pPr>
      <w:r w:rsidRPr="003318FE">
        <w:rPr>
          <w:rFonts w:ascii="Arial" w:hAnsi="Arial" w:cs="Arial"/>
          <w:sz w:val="22"/>
          <w:szCs w:val="22"/>
        </w:rPr>
        <w:t>Nella seguente tabella sono indicati</w:t>
      </w:r>
      <w:r w:rsidR="00743028">
        <w:rPr>
          <w:rFonts w:ascii="Arial" w:hAnsi="Arial" w:cs="Arial"/>
          <w:sz w:val="22"/>
          <w:szCs w:val="22"/>
        </w:rPr>
        <w:t>, per la vendita,</w:t>
      </w:r>
      <w:r w:rsidRPr="003318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prezzi</w:t>
      </w:r>
      <w:r w:rsidR="00743028">
        <w:rPr>
          <w:rFonts w:ascii="Arial" w:hAnsi="Arial" w:cs="Arial"/>
          <w:sz w:val="22"/>
          <w:szCs w:val="22"/>
        </w:rPr>
        <w:t xml:space="preserve"> previsti per la fine del 2026 in tutti i quartieri di Milano, con le variazioni rispetto ai valori attuali.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4314"/>
        <w:gridCol w:w="1231"/>
        <w:gridCol w:w="1217"/>
        <w:gridCol w:w="2124"/>
      </w:tblGrid>
      <w:tr w:rsidR="00743028" w:rsidRPr="00743028" w14:paraId="35B5A310" w14:textId="77777777" w:rsidTr="00743028">
        <w:trPr>
          <w:trHeight w:val="600"/>
        </w:trPr>
        <w:tc>
          <w:tcPr>
            <w:tcW w:w="364" w:type="pct"/>
            <w:vMerge w:val="restart"/>
            <w:tcBorders>
              <w:top w:val="single" w:sz="4" w:space="0" w:color="1B5066"/>
              <w:left w:val="nil"/>
              <w:bottom w:val="nil"/>
              <w:right w:val="nil"/>
            </w:tcBorders>
            <w:shd w:val="clear" w:color="0074C1" w:fill="0074C1"/>
            <w:textDirection w:val="btLr"/>
            <w:vAlign w:val="center"/>
            <w:hideMark/>
          </w:tcPr>
          <w:p w14:paraId="71FF64E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  <w:t>MILANO</w:t>
            </w:r>
          </w:p>
        </w:tc>
        <w:tc>
          <w:tcPr>
            <w:tcW w:w="2246" w:type="pct"/>
            <w:vMerge w:val="restart"/>
            <w:tcBorders>
              <w:top w:val="single" w:sz="4" w:space="0" w:color="1B5066"/>
              <w:left w:val="single" w:sz="4" w:space="0" w:color="1B5066"/>
              <w:bottom w:val="single" w:sz="4" w:space="0" w:color="004979"/>
              <w:right w:val="single" w:sz="4" w:space="0" w:color="1B5066"/>
            </w:tcBorders>
            <w:shd w:val="clear" w:color="004979" w:fill="004979"/>
            <w:vAlign w:val="center"/>
            <w:hideMark/>
          </w:tcPr>
          <w:p w14:paraId="6DCE215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  <w:t>Quartieri</w:t>
            </w:r>
          </w:p>
        </w:tc>
        <w:tc>
          <w:tcPr>
            <w:tcW w:w="645" w:type="pct"/>
            <w:vMerge w:val="restart"/>
            <w:tcBorders>
              <w:top w:val="single" w:sz="4" w:space="0" w:color="1B5066"/>
              <w:left w:val="single" w:sz="4" w:space="0" w:color="1B5066"/>
              <w:bottom w:val="single" w:sz="4" w:space="0" w:color="1B5066"/>
              <w:right w:val="nil"/>
            </w:tcBorders>
            <w:shd w:val="clear" w:color="0074C1" w:fill="0074C1"/>
            <w:vAlign w:val="center"/>
            <w:hideMark/>
          </w:tcPr>
          <w:p w14:paraId="17E3095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  <w:t>Valore attuale</w:t>
            </w:r>
          </w:p>
        </w:tc>
        <w:tc>
          <w:tcPr>
            <w:tcW w:w="1745" w:type="pct"/>
            <w:gridSpan w:val="2"/>
            <w:tcBorders>
              <w:top w:val="single" w:sz="4" w:space="0" w:color="1B5066"/>
              <w:left w:val="single" w:sz="8" w:space="0" w:color="1B5066"/>
              <w:bottom w:val="single" w:sz="4" w:space="0" w:color="1B5066"/>
              <w:right w:val="single" w:sz="8" w:space="0" w:color="1B5066"/>
            </w:tcBorders>
            <w:shd w:val="clear" w:color="0074C1" w:fill="0074C1"/>
            <w:vAlign w:val="center"/>
            <w:hideMark/>
          </w:tcPr>
          <w:p w14:paraId="7BE906C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  <w:t>PREVISIONE DIC. 2026</w:t>
            </w:r>
          </w:p>
        </w:tc>
      </w:tr>
      <w:tr w:rsidR="00743028" w:rsidRPr="00743028" w14:paraId="36E7440A" w14:textId="77777777" w:rsidTr="00743028">
        <w:trPr>
          <w:trHeight w:val="876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143D5B15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vMerge/>
            <w:tcBorders>
              <w:top w:val="single" w:sz="4" w:space="0" w:color="1B5066"/>
              <w:left w:val="single" w:sz="4" w:space="0" w:color="1B5066"/>
              <w:bottom w:val="single" w:sz="4" w:space="0" w:color="004979"/>
              <w:right w:val="single" w:sz="4" w:space="0" w:color="1B5066"/>
            </w:tcBorders>
            <w:vAlign w:val="center"/>
            <w:hideMark/>
          </w:tcPr>
          <w:p w14:paraId="10DBE5E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5" w:type="pct"/>
            <w:vMerge/>
            <w:tcBorders>
              <w:top w:val="single" w:sz="4" w:space="0" w:color="1B5066"/>
              <w:left w:val="single" w:sz="4" w:space="0" w:color="1B5066"/>
              <w:bottom w:val="single" w:sz="4" w:space="0" w:color="1B5066"/>
              <w:right w:val="nil"/>
            </w:tcBorders>
            <w:vAlign w:val="center"/>
            <w:hideMark/>
          </w:tcPr>
          <w:p w14:paraId="5F10C93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shd w:val="clear" w:color="E6F5FE" w:fill="E6F5FE"/>
            <w:vAlign w:val="center"/>
            <w:hideMark/>
          </w:tcPr>
          <w:p w14:paraId="2204BA3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Predizione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shd w:val="clear" w:color="E6F5FE" w:fill="E6F5FE"/>
            <w:vAlign w:val="center"/>
            <w:hideMark/>
          </w:tcPr>
          <w:p w14:paraId="2A69C64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Variazione prezzo VALORE ATTUALE vs. DIC. 2026</w:t>
            </w:r>
          </w:p>
        </w:tc>
      </w:tr>
      <w:tr w:rsidR="00743028" w:rsidRPr="00743028" w14:paraId="3063C97A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612A15B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268FDE68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Precotto, Turro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853F5D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4.538 €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80B7D44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4.932 €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BD1883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8,7%</w:t>
            </w:r>
          </w:p>
        </w:tc>
      </w:tr>
      <w:tr w:rsidR="00743028" w:rsidRPr="00743028" w14:paraId="319221CE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7F350DF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31664D05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Viale Certosa, Cascina Merlata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CA595F4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4.269 €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7768303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4.622 €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88CEDF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8,3%</w:t>
            </w:r>
          </w:p>
        </w:tc>
      </w:tr>
      <w:tr w:rsidR="00743028" w:rsidRPr="00743028" w14:paraId="7709D59F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4E27A617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621B9A6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Bicocca, Niguarda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7FFE17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3.932 €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E78C5C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4.246 €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A493F2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8,0%</w:t>
            </w:r>
          </w:p>
        </w:tc>
      </w:tr>
      <w:tr w:rsidR="00743028" w:rsidRPr="00743028" w14:paraId="153DE1BC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4F553603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1305F7A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Corvetto, Rogoredo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6FB282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4.456 €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C40092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4.791 €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FAC04B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7,5%</w:t>
            </w:r>
          </w:p>
        </w:tc>
      </w:tr>
      <w:tr w:rsidR="00743028" w:rsidRPr="00743028" w14:paraId="2DEAA7EF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0209A97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47B5F3B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Forlanini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A54B9D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3.972 €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F6B04B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4.269 €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7A19C0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7,5%</w:t>
            </w:r>
          </w:p>
        </w:tc>
      </w:tr>
      <w:tr w:rsidR="00743028" w:rsidRPr="00743028" w14:paraId="530D5085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1E393FF0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155691F0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Affori, Bovisa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5295D0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3.916 €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EE3DD1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4.204 €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6A6AB7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7,4%</w:t>
            </w:r>
          </w:p>
        </w:tc>
      </w:tr>
      <w:tr w:rsidR="00743028" w:rsidRPr="00743028" w14:paraId="22FA94EA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40D6D90E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0D51C6A8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Bisceglie, Baggio, Olmi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53EC2F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3.177 €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3CA76D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3.406 €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93CF7C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7,2%</w:t>
            </w:r>
          </w:p>
        </w:tc>
      </w:tr>
      <w:tr w:rsidR="00743028" w:rsidRPr="00743028" w14:paraId="37B45560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022FA602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79005BC3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Ripamonti, Vigentino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DCD3B2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4.651 €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5634CE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4.985 €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D8A8F9D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7,2%</w:t>
            </w:r>
          </w:p>
        </w:tc>
      </w:tr>
      <w:tr w:rsidR="00743028" w:rsidRPr="00743028" w14:paraId="51943C35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1C3C077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45F70D90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Napoli, Soderini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1D0230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5.687 €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8DCBBF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6.088 €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723558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7,1%</w:t>
            </w:r>
          </w:p>
        </w:tc>
      </w:tr>
      <w:tr w:rsidR="00743028" w:rsidRPr="00743028" w14:paraId="1EB4AC93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3ED6B13E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4D5A784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Città Studi, Susa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2C4429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5.794 €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E3A45D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6.187 €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C95ED1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6,8%</w:t>
            </w:r>
          </w:p>
        </w:tc>
      </w:tr>
      <w:tr w:rsidR="00743028" w:rsidRPr="00743028" w14:paraId="07AFBA59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144D3F93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728C9868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San Siro, Trenno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6BFBBD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4.231 €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4966D9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4.490 €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9F71A1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6,1%</w:t>
            </w:r>
          </w:p>
        </w:tc>
      </w:tr>
      <w:tr w:rsidR="00743028" w:rsidRPr="00743028" w14:paraId="54C973AC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7B8C965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5B704F4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Porta Vittoria, Lodi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E9F8374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5.267 €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882FFB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5.586 €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498CBA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6,1%</w:t>
            </w:r>
          </w:p>
        </w:tc>
      </w:tr>
      <w:tr w:rsidR="00743028" w:rsidRPr="00743028" w14:paraId="793C2195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4F677B8E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4FFBC9E8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Famagosta, Barona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97DA28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4.511 €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3D0AEF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4.762 €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7D5341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5,6%</w:t>
            </w:r>
          </w:p>
        </w:tc>
      </w:tr>
      <w:tr w:rsidR="00743028" w:rsidRPr="00743028" w14:paraId="11A8D662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12E1390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6556A58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Pasteur, Rovereto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81904E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4.859 €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2DE227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5.128 €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EDCA4B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5,5%</w:t>
            </w:r>
          </w:p>
        </w:tc>
      </w:tr>
      <w:tr w:rsidR="00743028" w:rsidRPr="00743028" w14:paraId="3A833E20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1535316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34B571B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Solari, Washington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FD975B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7.187 €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486CD3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7.555 €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27AC27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5,1%</w:t>
            </w:r>
          </w:p>
        </w:tc>
      </w:tr>
      <w:tr w:rsidR="00743028" w:rsidRPr="00743028" w14:paraId="2F03DCB0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57F324D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25DA684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Centro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6DF9A3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10.938 €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B2C778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11.478 €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3F1D1A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4,9%</w:t>
            </w:r>
          </w:p>
        </w:tc>
      </w:tr>
      <w:tr w:rsidR="00743028" w:rsidRPr="00743028" w14:paraId="484A4984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4236258D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324B755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Ponte Lambro, Santa Giulia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3E1E373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3.415 €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BDF7FE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3.579 €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839B10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4,8%</w:t>
            </w:r>
          </w:p>
        </w:tc>
      </w:tr>
      <w:tr w:rsidR="00743028" w:rsidRPr="00743028" w14:paraId="2B84EA2A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64F32837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5F5AA8F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Quadronno, Palestro, Guastalla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410BD2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9.048 €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136896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9.479 €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442A37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4,8%</w:t>
            </w:r>
          </w:p>
        </w:tc>
      </w:tr>
      <w:tr w:rsidR="00743028" w:rsidRPr="00743028" w14:paraId="18FCB6DC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25181082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auto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273E12B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Genova, Ticinese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auto"/>
              <w:right w:val="single" w:sz="4" w:space="0" w:color="1B5066"/>
            </w:tcBorders>
            <w:vAlign w:val="center"/>
            <w:hideMark/>
          </w:tcPr>
          <w:p w14:paraId="1361FE7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8.078 €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1B5066"/>
            </w:tcBorders>
            <w:vAlign w:val="center"/>
            <w:hideMark/>
          </w:tcPr>
          <w:p w14:paraId="316C11F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8.434 €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1B5066"/>
            </w:tcBorders>
            <w:vAlign w:val="center"/>
            <w:hideMark/>
          </w:tcPr>
          <w:p w14:paraId="19F9A35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4,4%</w:t>
            </w:r>
          </w:p>
        </w:tc>
      </w:tr>
      <w:tr w:rsidR="00743028" w:rsidRPr="00743028" w14:paraId="73B9EADC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31FFDB1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3F85F124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Cimiano, Crescenzago, Adriano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080CF1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3.743 €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895F283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3.840 €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B854BCD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2,6%</w:t>
            </w:r>
          </w:p>
        </w:tc>
      </w:tr>
      <w:tr w:rsidR="00743028" w:rsidRPr="00743028" w14:paraId="6C9BD120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3E73EFA2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00BD017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Cenisio, Sarpi, Isola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DEE872D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6.594 €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2C4ABB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6.762 €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DFCF6F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2,5%</w:t>
            </w:r>
          </w:p>
        </w:tc>
      </w:tr>
      <w:tr w:rsidR="00743028" w:rsidRPr="00743028" w14:paraId="270DC814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30B29FA7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4FA39A37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Maggiolina, Istria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26013E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5.449 €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AE99D8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5.583 €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F4C23F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2,5%</w:t>
            </w:r>
          </w:p>
        </w:tc>
      </w:tr>
      <w:tr w:rsidR="00743028" w:rsidRPr="00743028" w14:paraId="29ACE74E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56C16408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54276CA8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Udine, Lambrate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7805C8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4.452 €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2694A74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4.556 €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C5A279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2,3%</w:t>
            </w:r>
          </w:p>
        </w:tc>
      </w:tr>
      <w:tr w:rsidR="00743028" w:rsidRPr="00743028" w14:paraId="25B813F8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6932581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4B6AC333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Abbiategrasso, Chiesa Rossa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9CF48A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4.437 €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0221EC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4.534 €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804A844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2,2%</w:t>
            </w:r>
          </w:p>
        </w:tc>
      </w:tr>
      <w:tr w:rsidR="00743028" w:rsidRPr="00743028" w14:paraId="3F5138CB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21E2DC19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17227E1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Porta Romana, Cadore, Montenero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14C8F2D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7.295 €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11D822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7.441 €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415B1C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2,0%</w:t>
            </w:r>
          </w:p>
        </w:tc>
      </w:tr>
      <w:tr w:rsidR="00743028" w:rsidRPr="00743028" w14:paraId="4ED73013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29FC8B0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586D753C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Centrale, Repubblica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A3770C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6.735 €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BEDCD3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6.856 €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CE7ACA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1,8%</w:t>
            </w:r>
          </w:p>
        </w:tc>
      </w:tr>
      <w:tr w:rsidR="00743028" w:rsidRPr="00743028" w14:paraId="667D9559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305C2597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5A1ADFC8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Bande Nere, Inganni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407D1E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4.726 €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B0C4104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4.809 €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02715D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1,8%</w:t>
            </w:r>
          </w:p>
        </w:tc>
      </w:tr>
      <w:tr w:rsidR="00743028" w:rsidRPr="00743028" w14:paraId="3CCC4546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7AD752A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318B5412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Fiera, Sempione, City Life, Portello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9250A6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6.861 €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D0C354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6.978 €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863EEC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1,7%</w:t>
            </w:r>
          </w:p>
        </w:tc>
      </w:tr>
      <w:tr w:rsidR="00743028" w:rsidRPr="00743028" w14:paraId="36726FE6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038A6760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6FAC724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Porta Venezia, Indipendenza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5A9655D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7.974 €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EA26A9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8.106 €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7DFF97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1,7%</w:t>
            </w:r>
          </w:p>
        </w:tc>
      </w:tr>
      <w:tr w:rsidR="00743028" w:rsidRPr="00743028" w14:paraId="5DA8CA76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5F3B9555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0BDCC25C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Garibaldi, Moscova, Porta Nuova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F190D2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10.015 €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F1A60D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10.150 €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2010EF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1,3%</w:t>
            </w:r>
          </w:p>
        </w:tc>
      </w:tr>
      <w:tr w:rsidR="00743028" w:rsidRPr="00743028" w14:paraId="0E760C5C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2F6C06CE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5E4DE2ED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Navigli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D0792F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6.528 €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69EB52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6.609 €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1993AE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1,2%</w:t>
            </w:r>
          </w:p>
        </w:tc>
      </w:tr>
      <w:tr w:rsidR="00743028" w:rsidRPr="00743028" w14:paraId="414D6969" w14:textId="77777777" w:rsidTr="00743028">
        <w:trPr>
          <w:trHeight w:val="600"/>
        </w:trPr>
        <w:tc>
          <w:tcPr>
            <w:tcW w:w="364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61C4E7B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4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59FAE79E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Arco della Pace, Arena, Pagano</w:t>
            </w:r>
          </w:p>
        </w:tc>
        <w:tc>
          <w:tcPr>
            <w:tcW w:w="645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9948DD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9.283 €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311303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9.327 €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5747F8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0,5%</w:t>
            </w:r>
          </w:p>
        </w:tc>
      </w:tr>
    </w:tbl>
    <w:p w14:paraId="40AA25FE" w14:textId="77777777" w:rsidR="00743028" w:rsidRDefault="00743028" w:rsidP="003318FE">
      <w:pPr>
        <w:rPr>
          <w:rFonts w:ascii="Arial" w:hAnsi="Arial" w:cs="Arial"/>
          <w:sz w:val="22"/>
          <w:szCs w:val="22"/>
        </w:rPr>
      </w:pPr>
    </w:p>
    <w:p w14:paraId="6840BA2D" w14:textId="77777777" w:rsidR="00743028" w:rsidRDefault="00743028" w:rsidP="003318FE">
      <w:pPr>
        <w:rPr>
          <w:rFonts w:ascii="Arial" w:hAnsi="Arial" w:cs="Arial"/>
          <w:sz w:val="22"/>
          <w:szCs w:val="22"/>
        </w:rPr>
      </w:pPr>
    </w:p>
    <w:p w14:paraId="576A6DBF" w14:textId="0B3E188E" w:rsidR="00743028" w:rsidRDefault="00743028" w:rsidP="003318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Nella seguente tabella sono indicati, per l’affitto, i canoni previsti per la fine del 2026 in tutti i quartieri di Milano, con le variazioni rispetto ai valori attuali.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4334"/>
        <w:gridCol w:w="1239"/>
        <w:gridCol w:w="1210"/>
        <w:gridCol w:w="2103"/>
      </w:tblGrid>
      <w:tr w:rsidR="00743028" w:rsidRPr="00743028" w14:paraId="6D5AB4D8" w14:textId="77777777" w:rsidTr="00743028">
        <w:trPr>
          <w:trHeight w:val="600"/>
        </w:trPr>
        <w:tc>
          <w:tcPr>
            <w:tcW w:w="366" w:type="pct"/>
            <w:vMerge w:val="restart"/>
            <w:tcBorders>
              <w:top w:val="single" w:sz="4" w:space="0" w:color="1B5066"/>
              <w:left w:val="nil"/>
              <w:bottom w:val="nil"/>
              <w:right w:val="nil"/>
            </w:tcBorders>
            <w:shd w:val="clear" w:color="0074C1" w:fill="0074C1"/>
            <w:textDirection w:val="btLr"/>
            <w:vAlign w:val="center"/>
            <w:hideMark/>
          </w:tcPr>
          <w:p w14:paraId="6A79E40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  <w:t>MILANO</w:t>
            </w:r>
          </w:p>
        </w:tc>
        <w:tc>
          <w:tcPr>
            <w:tcW w:w="2256" w:type="pct"/>
            <w:vMerge w:val="restart"/>
            <w:tcBorders>
              <w:top w:val="single" w:sz="4" w:space="0" w:color="1B5066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shd w:val="clear" w:color="004979" w:fill="004979"/>
            <w:vAlign w:val="center"/>
            <w:hideMark/>
          </w:tcPr>
          <w:p w14:paraId="612E502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  <w:t>Quartieri</w:t>
            </w:r>
          </w:p>
        </w:tc>
        <w:tc>
          <w:tcPr>
            <w:tcW w:w="648" w:type="pct"/>
            <w:vMerge w:val="restart"/>
            <w:tcBorders>
              <w:top w:val="single" w:sz="4" w:space="0" w:color="1B5066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shd w:val="clear" w:color="0074C1" w:fill="0074C1"/>
            <w:vAlign w:val="center"/>
            <w:hideMark/>
          </w:tcPr>
          <w:p w14:paraId="48C630C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  <w:t>Valore attuale</w:t>
            </w:r>
          </w:p>
        </w:tc>
        <w:tc>
          <w:tcPr>
            <w:tcW w:w="1730" w:type="pct"/>
            <w:gridSpan w:val="2"/>
            <w:tcBorders>
              <w:top w:val="single" w:sz="4" w:space="0" w:color="1B5066"/>
              <w:left w:val="single" w:sz="8" w:space="0" w:color="1B5066"/>
              <w:bottom w:val="single" w:sz="4" w:space="0" w:color="1B5066"/>
              <w:right w:val="single" w:sz="8" w:space="0" w:color="1B5066"/>
            </w:tcBorders>
            <w:shd w:val="clear" w:color="0074C1" w:fill="0074C1"/>
            <w:vAlign w:val="center"/>
            <w:hideMark/>
          </w:tcPr>
          <w:p w14:paraId="7649194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  <w:t>PREVISIONE DIC. 2026</w:t>
            </w:r>
          </w:p>
        </w:tc>
      </w:tr>
      <w:tr w:rsidR="00743028" w:rsidRPr="00743028" w14:paraId="362B4B26" w14:textId="77777777" w:rsidTr="00743028">
        <w:trPr>
          <w:trHeight w:val="756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4BD8A167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vMerge/>
            <w:tcBorders>
              <w:top w:val="single" w:sz="4" w:space="0" w:color="1B5066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0B4CBA7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48" w:type="pct"/>
            <w:vMerge/>
            <w:tcBorders>
              <w:top w:val="single" w:sz="4" w:space="0" w:color="1B5066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2F59A5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shd w:val="clear" w:color="CAECFF" w:fill="CAECFF"/>
            <w:vAlign w:val="center"/>
            <w:hideMark/>
          </w:tcPr>
          <w:p w14:paraId="632EB8D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Predizione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shd w:val="clear" w:color="E6F5FE" w:fill="E6F5FE"/>
            <w:vAlign w:val="center"/>
            <w:hideMark/>
          </w:tcPr>
          <w:p w14:paraId="1275397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Variazione prezzo VALORE ATTUALE vs. DIC. 2026</w:t>
            </w:r>
          </w:p>
        </w:tc>
      </w:tr>
      <w:tr w:rsidR="00743028" w:rsidRPr="00743028" w14:paraId="7A9A4A7F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35EEC95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single" w:sz="4" w:space="0" w:color="004979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24B00FD0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Centro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15B714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30,9 €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C15C55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33,8 €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A41D52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9,2%</w:t>
            </w:r>
          </w:p>
        </w:tc>
      </w:tr>
      <w:tr w:rsidR="00743028" w:rsidRPr="00743028" w14:paraId="14CC94DB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0C28DF7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1712102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Solari, Washington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B038BC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23,9 €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2162DA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25,9 €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7E344A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8,4%</w:t>
            </w:r>
          </w:p>
        </w:tc>
      </w:tr>
      <w:tr w:rsidR="00743028" w:rsidRPr="00743028" w14:paraId="0B891A16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07774A29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0664CE0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Centrale, Repubblica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43FBE4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23,3 €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C7463D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25,2 €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8262C9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7,8%</w:t>
            </w:r>
          </w:p>
        </w:tc>
      </w:tr>
      <w:tr w:rsidR="00743028" w:rsidRPr="00743028" w14:paraId="3EFA80B8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25BA7C2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7E3AE7C5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Forlanini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4DA627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16,7 €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8FFFFF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18,0 €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00A876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7,6%</w:t>
            </w:r>
          </w:p>
        </w:tc>
      </w:tr>
      <w:tr w:rsidR="00743028" w:rsidRPr="00743028" w14:paraId="37F5CE11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2B28F30E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auto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5D011C40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Arco della Pace, Arena, Pagano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auto"/>
              <w:right w:val="single" w:sz="4" w:space="0" w:color="1B5066"/>
            </w:tcBorders>
            <w:vAlign w:val="center"/>
            <w:hideMark/>
          </w:tcPr>
          <w:p w14:paraId="0EA5BDF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27,3 €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1B5066"/>
            </w:tcBorders>
            <w:vAlign w:val="center"/>
            <w:hideMark/>
          </w:tcPr>
          <w:p w14:paraId="0776344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29,3 €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1B5066"/>
            </w:tcBorders>
            <w:vAlign w:val="center"/>
            <w:hideMark/>
          </w:tcPr>
          <w:p w14:paraId="5CBF74E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7,1%</w:t>
            </w:r>
          </w:p>
        </w:tc>
      </w:tr>
      <w:tr w:rsidR="00743028" w:rsidRPr="00743028" w14:paraId="5BB6A5D0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6BEF227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500A0339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Cenisio, Sarpi, Isola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B2A936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23,2 €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B64926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24,8 €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C51730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7,0%</w:t>
            </w:r>
          </w:p>
        </w:tc>
      </w:tr>
      <w:tr w:rsidR="00743028" w:rsidRPr="00743028" w14:paraId="2956B6EC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0904077D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7AA0019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Bisceglie, Baggio, Olmi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76A5DD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15,8 €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69DF1E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16,9 €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45699C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6,9%</w:t>
            </w:r>
          </w:p>
        </w:tc>
      </w:tr>
      <w:tr w:rsidR="00743028" w:rsidRPr="00743028" w14:paraId="078D4794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7EB43BB8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636406B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Napoli, Soderini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F61901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20,0 €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CE18964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21,4 €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3607C4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6,8%</w:t>
            </w:r>
          </w:p>
        </w:tc>
      </w:tr>
      <w:tr w:rsidR="00743028" w:rsidRPr="00743028" w14:paraId="7C0AA05A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51FFB5AE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59E9C7E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Ponte Lambro, Santa Giulia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8A6ADC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16,6 €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D65825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17,7 €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A46DFF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6,5%</w:t>
            </w:r>
          </w:p>
        </w:tc>
      </w:tr>
      <w:tr w:rsidR="00743028" w:rsidRPr="00743028" w14:paraId="215D2981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3EB6A18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7F602D48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Fiera, Sempione, City Life, Portello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7B6108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23,5 €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EA5D28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25,0 €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A8B698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6,5%</w:t>
            </w:r>
          </w:p>
        </w:tc>
      </w:tr>
      <w:tr w:rsidR="00743028" w:rsidRPr="00743028" w14:paraId="147EBD46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0E0E073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4B36A7A9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Bande Nere, Inganni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ACAD57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19,1 €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26BEC4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20,3 €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153520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6,3%</w:t>
            </w:r>
          </w:p>
        </w:tc>
      </w:tr>
      <w:tr w:rsidR="00743028" w:rsidRPr="00743028" w14:paraId="085CFC63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5D2FDB07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0FF28904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Affori, Bovisa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67F2063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19,3 €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60A702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20,4 €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97E2BA4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5,9%</w:t>
            </w:r>
          </w:p>
        </w:tc>
      </w:tr>
      <w:tr w:rsidR="00743028" w:rsidRPr="00743028" w14:paraId="6E8ADDD7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724B1237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4506C749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Maggiolina, Istria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018066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20,5 €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4B955F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21,7 €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52383F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5,9%</w:t>
            </w:r>
          </w:p>
        </w:tc>
      </w:tr>
      <w:tr w:rsidR="00743028" w:rsidRPr="00743028" w14:paraId="656C7AE2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606D8102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63FB05F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Corvetto, Rogoredo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0209F3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19,6 €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E88A33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20,8 €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AEA9BED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5,9%</w:t>
            </w:r>
          </w:p>
        </w:tc>
      </w:tr>
      <w:tr w:rsidR="00743028" w:rsidRPr="00743028" w14:paraId="4E7D84A8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0DB31B4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2B29365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Pasteur, Rovereto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716D4D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21,3 €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1F01425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22,6 €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241B9B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5,8%</w:t>
            </w:r>
          </w:p>
        </w:tc>
      </w:tr>
      <w:tr w:rsidR="00743028" w:rsidRPr="00743028" w14:paraId="4522B6C8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4056F434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62E33A3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Viale Certosa, Cascina Merlata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23C58B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18,7 €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02377E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19,8 €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BBBF7E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5,8%</w:t>
            </w:r>
          </w:p>
        </w:tc>
      </w:tr>
      <w:tr w:rsidR="00743028" w:rsidRPr="00743028" w14:paraId="51042D58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5FCAEA4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068A748C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Cimiano, Crescenzago, Adriano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8A5CEA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17,6 €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BF6254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18,6 €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CFFEBC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5,7%</w:t>
            </w:r>
          </w:p>
        </w:tc>
      </w:tr>
      <w:tr w:rsidR="00743028" w:rsidRPr="00743028" w14:paraId="6F1BD53E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284C67D4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1638083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Porta Vittoria, Lodi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E9FAB1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21,2 €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E72DF3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22,3 €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7EAA07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5,6%</w:t>
            </w:r>
          </w:p>
        </w:tc>
      </w:tr>
      <w:tr w:rsidR="00743028" w:rsidRPr="00743028" w14:paraId="054914D2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19D092B4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7198BB82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Ripamonti, Vigentino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B5E6C4E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20,3 €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06DAC6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21,4 €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A7BAA8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5,5%</w:t>
            </w:r>
          </w:p>
        </w:tc>
      </w:tr>
      <w:tr w:rsidR="00743028" w:rsidRPr="00743028" w14:paraId="2E1D7425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5FB07CB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10ADCD8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Bicocca, Niguarda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6B190D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18,2 €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50EBD83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19,1 €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188F49F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5,4%</w:t>
            </w:r>
          </w:p>
        </w:tc>
      </w:tr>
      <w:tr w:rsidR="00743028" w:rsidRPr="00743028" w14:paraId="405D2791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3AFD7700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28CB0063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Abbiategrasso, Chiesa Rossa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EDA911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20,0 €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1FCB88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21,0 €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7401473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5,1%</w:t>
            </w:r>
          </w:p>
        </w:tc>
      </w:tr>
      <w:tr w:rsidR="00743028" w:rsidRPr="00743028" w14:paraId="1AB1C180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50C3AA7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7D6F40F6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Città Studi, Susa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01C243D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20,5 €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2A71033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21,5 €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E255EC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5,0%</w:t>
            </w:r>
          </w:p>
        </w:tc>
      </w:tr>
      <w:tr w:rsidR="00743028" w:rsidRPr="00743028" w14:paraId="49978B47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305910BC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63E3CFD7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Garibaldi, Moscova, Porta Nuova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5A9594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30,3 €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CD1C68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31,8 €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6BA714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5,0%</w:t>
            </w:r>
          </w:p>
        </w:tc>
      </w:tr>
      <w:tr w:rsidR="00743028" w:rsidRPr="00743028" w14:paraId="664823AD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55C6F344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4C6F54B0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Porta Romana, Cadore, Montenero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610CDB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23,6 €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DB1916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24,6 €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02493D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4,5%</w:t>
            </w:r>
          </w:p>
        </w:tc>
      </w:tr>
      <w:tr w:rsidR="00743028" w:rsidRPr="00743028" w14:paraId="19F39850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788D80C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6791754E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Famagosta, Barona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24E21A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19,7 €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A6DE83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20,6 €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572A36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4,4%</w:t>
            </w:r>
          </w:p>
        </w:tc>
      </w:tr>
      <w:tr w:rsidR="00743028" w:rsidRPr="00743028" w14:paraId="1C1F2059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3126EC23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3D3DC199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Udine, Lambrate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538DDF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18,8 €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71A8A00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19,6 €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D100F1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4,3%</w:t>
            </w:r>
          </w:p>
        </w:tc>
      </w:tr>
      <w:tr w:rsidR="00743028" w:rsidRPr="00743028" w14:paraId="6E66EFFD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7128C514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441D8CCC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Quadronno, Palestro, Guastalla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CAF43C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27,8 €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AC70E3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29,0 €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17847C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4,0%</w:t>
            </w:r>
          </w:p>
        </w:tc>
      </w:tr>
      <w:tr w:rsidR="00743028" w:rsidRPr="00743028" w14:paraId="3CF62B47" w14:textId="77777777" w:rsidTr="005E2487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7E11B46B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auto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0843624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Porta Venezia, Indipendenza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auto"/>
              <w:right w:val="single" w:sz="4" w:space="0" w:color="1B5066"/>
            </w:tcBorders>
            <w:vAlign w:val="center"/>
            <w:hideMark/>
          </w:tcPr>
          <w:p w14:paraId="1C1E564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25,0 €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1B5066"/>
            </w:tcBorders>
            <w:vAlign w:val="center"/>
            <w:hideMark/>
          </w:tcPr>
          <w:p w14:paraId="52E08768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26,0 €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1B5066"/>
            </w:tcBorders>
            <w:vAlign w:val="center"/>
            <w:hideMark/>
          </w:tcPr>
          <w:p w14:paraId="0AB781A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3,9%</w:t>
            </w:r>
          </w:p>
        </w:tc>
      </w:tr>
      <w:tr w:rsidR="00743028" w:rsidRPr="00743028" w14:paraId="3015CC39" w14:textId="77777777" w:rsidTr="005E2487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4AE71870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1EA14BC5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Precotto, Turro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2CE47832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20,1 €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53E3CF6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20,8 €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598C04A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3,8%</w:t>
            </w:r>
          </w:p>
        </w:tc>
      </w:tr>
      <w:tr w:rsidR="00743028" w:rsidRPr="00743028" w14:paraId="2C641300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4F486B6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284DB101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San Siro, Trenno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78C31A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17,9 €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858C527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18,5 €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309056F0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3,6%</w:t>
            </w:r>
          </w:p>
        </w:tc>
      </w:tr>
      <w:tr w:rsidR="00743028" w:rsidRPr="00743028" w14:paraId="2BBCF81E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1639AA5D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3D497093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Genova, Ticinese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4570997C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26,1 €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BBCFAF9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27,0 €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6BF4DC86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3,3%</w:t>
            </w:r>
          </w:p>
        </w:tc>
      </w:tr>
      <w:tr w:rsidR="00743028" w:rsidRPr="00743028" w14:paraId="5FBA720E" w14:textId="77777777" w:rsidTr="00743028">
        <w:trPr>
          <w:trHeight w:val="600"/>
        </w:trPr>
        <w:tc>
          <w:tcPr>
            <w:tcW w:w="366" w:type="pct"/>
            <w:vMerge/>
            <w:tcBorders>
              <w:top w:val="single" w:sz="4" w:space="0" w:color="1B5066"/>
              <w:left w:val="nil"/>
              <w:bottom w:val="nil"/>
              <w:right w:val="nil"/>
            </w:tcBorders>
            <w:vAlign w:val="center"/>
            <w:hideMark/>
          </w:tcPr>
          <w:p w14:paraId="0B875F0F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2256" w:type="pct"/>
            <w:tcBorders>
              <w:top w:val="nil"/>
              <w:left w:val="single" w:sz="4" w:space="0" w:color="004979"/>
              <w:bottom w:val="single" w:sz="4" w:space="0" w:color="004979"/>
              <w:right w:val="single" w:sz="4" w:space="0" w:color="004979"/>
            </w:tcBorders>
            <w:shd w:val="clear" w:color="E6F5FE" w:fill="E6F5FE"/>
            <w:vAlign w:val="center"/>
            <w:hideMark/>
          </w:tcPr>
          <w:p w14:paraId="635672DA" w14:textId="77777777" w:rsidR="00743028" w:rsidRPr="00743028" w:rsidRDefault="00743028" w:rsidP="00743028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b/>
                <w:bCs/>
                <w:color w:val="004979"/>
                <w:kern w:val="0"/>
                <w:sz w:val="20"/>
                <w:szCs w:val="20"/>
                <w:lang w:eastAsia="it-IT"/>
                <w14:ligatures w14:val="none"/>
              </w:rPr>
              <w:t>Navigli</w:t>
            </w:r>
          </w:p>
        </w:tc>
        <w:tc>
          <w:tcPr>
            <w:tcW w:w="648" w:type="pct"/>
            <w:tcBorders>
              <w:top w:val="nil"/>
              <w:left w:val="single" w:sz="4" w:space="0" w:color="1B5066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0680FC13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23,4 €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D532771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24,1 €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1B5066"/>
              <w:right w:val="single" w:sz="4" w:space="0" w:color="1B5066"/>
            </w:tcBorders>
            <w:vAlign w:val="center"/>
            <w:hideMark/>
          </w:tcPr>
          <w:p w14:paraId="1A1CD8EB" w14:textId="77777777" w:rsidR="00743028" w:rsidRPr="00743028" w:rsidRDefault="00743028" w:rsidP="00743028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43028">
              <w:rPr>
                <w:rFonts w:ascii="Inter" w:eastAsia="Times New Roman" w:hAnsi="Inter" w:cs="Calibri"/>
                <w:color w:val="1A5065"/>
                <w:kern w:val="0"/>
                <w:sz w:val="20"/>
                <w:szCs w:val="20"/>
                <w:lang w:eastAsia="it-IT"/>
                <w14:ligatures w14:val="none"/>
              </w:rPr>
              <w:t>3,0%</w:t>
            </w:r>
          </w:p>
        </w:tc>
      </w:tr>
    </w:tbl>
    <w:p w14:paraId="49E5400D" w14:textId="77777777" w:rsidR="00743028" w:rsidRPr="003318FE" w:rsidRDefault="00743028" w:rsidP="003318FE">
      <w:pPr>
        <w:rPr>
          <w:rFonts w:ascii="Arial" w:hAnsi="Arial" w:cs="Arial"/>
          <w:sz w:val="22"/>
          <w:szCs w:val="22"/>
        </w:rPr>
      </w:pPr>
    </w:p>
    <w:sectPr w:rsidR="00743028" w:rsidRPr="00331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73685"/>
    <w:multiLevelType w:val="hybridMultilevel"/>
    <w:tmpl w:val="9EBC0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21CE"/>
    <w:multiLevelType w:val="hybridMultilevel"/>
    <w:tmpl w:val="30B4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3660">
    <w:abstractNumId w:val="0"/>
  </w:num>
  <w:num w:numId="2" w16cid:durableId="99492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FC"/>
    <w:rsid w:val="002A0ABA"/>
    <w:rsid w:val="003318FE"/>
    <w:rsid w:val="00426DF3"/>
    <w:rsid w:val="00432118"/>
    <w:rsid w:val="004A3572"/>
    <w:rsid w:val="0054427B"/>
    <w:rsid w:val="00584190"/>
    <w:rsid w:val="00584FD4"/>
    <w:rsid w:val="005959CE"/>
    <w:rsid w:val="005E2487"/>
    <w:rsid w:val="00655894"/>
    <w:rsid w:val="006A6EE4"/>
    <w:rsid w:val="00743028"/>
    <w:rsid w:val="007533ED"/>
    <w:rsid w:val="007A6A57"/>
    <w:rsid w:val="008D64E2"/>
    <w:rsid w:val="008E34C8"/>
    <w:rsid w:val="0090547B"/>
    <w:rsid w:val="009C0747"/>
    <w:rsid w:val="00B007C7"/>
    <w:rsid w:val="00CC04DB"/>
    <w:rsid w:val="00CD3116"/>
    <w:rsid w:val="00E935FC"/>
    <w:rsid w:val="00E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DA56"/>
  <w15:chartTrackingRefBased/>
  <w15:docId w15:val="{8E3414B7-DD44-AC47-AEE9-F5602983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3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3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3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3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3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3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3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3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3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35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35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35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35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35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35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3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35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35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35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3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35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3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Office365 - 2</dc:creator>
  <cp:keywords/>
  <dc:description/>
  <cp:lastModifiedBy>Federico Martegani</cp:lastModifiedBy>
  <cp:revision>18</cp:revision>
  <dcterms:created xsi:type="dcterms:W3CDTF">2025-12-03T10:06:00Z</dcterms:created>
  <dcterms:modified xsi:type="dcterms:W3CDTF">2025-12-16T09:56:00Z</dcterms:modified>
</cp:coreProperties>
</file>