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517DE" w14:textId="0BDDCD1B" w:rsidR="00EB1D81" w:rsidRPr="005360CC" w:rsidRDefault="00EB1D81" w:rsidP="00325B5A">
      <w:pPr>
        <w:spacing w:after="0" w:line="240" w:lineRule="auto"/>
        <w:contextualSpacing/>
        <w:rPr>
          <w:b/>
          <w:bCs/>
        </w:rPr>
      </w:pPr>
      <w:r w:rsidRPr="005360CC">
        <w:rPr>
          <w:b/>
          <w:bCs/>
        </w:rPr>
        <w:t>RBC BlueBay</w:t>
      </w:r>
      <w:r w:rsidR="005360CC" w:rsidRPr="005360CC">
        <w:rPr>
          <w:b/>
          <w:bCs/>
        </w:rPr>
        <w:t xml:space="preserve"> – </w:t>
      </w:r>
      <w:r w:rsidRPr="005360CC">
        <w:rPr>
          <w:b/>
          <w:bCs/>
        </w:rPr>
        <w:t>Taiwan</w:t>
      </w:r>
      <w:r w:rsidR="005360CC" w:rsidRPr="005360CC">
        <w:rPr>
          <w:b/>
          <w:bCs/>
        </w:rPr>
        <w:t>: due domande chiave per</w:t>
      </w:r>
      <w:r w:rsidR="005360CC">
        <w:rPr>
          <w:b/>
          <w:bCs/>
        </w:rPr>
        <w:t xml:space="preserve"> gli investitori</w:t>
      </w:r>
    </w:p>
    <w:p w14:paraId="059719DE" w14:textId="77777777" w:rsidR="00325B5A" w:rsidRDefault="00325B5A" w:rsidP="00325B5A">
      <w:pPr>
        <w:spacing w:after="0" w:line="240" w:lineRule="auto"/>
        <w:contextualSpacing/>
      </w:pPr>
    </w:p>
    <w:p w14:paraId="53CA3C8F" w14:textId="0DE782F1" w:rsidR="00EB1D81" w:rsidRPr="00EB1D81" w:rsidRDefault="00EB1D81" w:rsidP="00325B5A">
      <w:pPr>
        <w:spacing w:after="0" w:line="240" w:lineRule="auto"/>
        <w:contextualSpacing/>
        <w:rPr>
          <w:b/>
          <w:bCs/>
        </w:rPr>
      </w:pPr>
      <w:r>
        <w:t xml:space="preserve">A cura di </w:t>
      </w:r>
      <w:r w:rsidRPr="00EB1D81">
        <w:rPr>
          <w:b/>
          <w:bCs/>
        </w:rPr>
        <w:t>Guido Giammattei</w:t>
      </w:r>
      <w:r>
        <w:rPr>
          <w:b/>
          <w:bCs/>
        </w:rPr>
        <w:t>,</w:t>
      </w:r>
      <w:r w:rsidRPr="00EB1D81">
        <w:rPr>
          <w:b/>
          <w:bCs/>
        </w:rPr>
        <w:t xml:space="preserve"> EM Equity Portfolio Manager</w:t>
      </w:r>
      <w:r>
        <w:rPr>
          <w:b/>
          <w:bCs/>
        </w:rPr>
        <w:t>, RBC BlueBay</w:t>
      </w:r>
    </w:p>
    <w:p w14:paraId="14835884" w14:textId="77777777" w:rsidR="00325B5A" w:rsidRDefault="00325B5A" w:rsidP="00325B5A">
      <w:pPr>
        <w:spacing w:after="0" w:line="240" w:lineRule="auto"/>
        <w:contextualSpacing/>
      </w:pPr>
    </w:p>
    <w:p w14:paraId="6A88F2E2" w14:textId="77777777" w:rsidR="00325B5A" w:rsidRDefault="00FA2850" w:rsidP="00325B5A">
      <w:pPr>
        <w:spacing w:after="0" w:line="240" w:lineRule="auto"/>
        <w:contextualSpacing/>
      </w:pPr>
      <w:r w:rsidRPr="00FA2850">
        <w:t xml:space="preserve">Quando ho visitato per la prima volta </w:t>
      </w:r>
      <w:r w:rsidR="00F21069" w:rsidRPr="00FA2850">
        <w:t xml:space="preserve">Taiwan </w:t>
      </w:r>
      <w:r>
        <w:t>diversi anni fa</w:t>
      </w:r>
      <w:r w:rsidR="00F21069" w:rsidRPr="00FA2850">
        <w:t xml:space="preserve">, </w:t>
      </w:r>
      <w:r w:rsidR="00EB1D81">
        <w:t>non sapevo</w:t>
      </w:r>
      <w:r w:rsidR="005F0569">
        <w:t xml:space="preserve"> avesse</w:t>
      </w:r>
      <w:r>
        <w:t xml:space="preserve"> un </w:t>
      </w:r>
      <w:r w:rsidR="00EB1D81">
        <w:t>Pil</w:t>
      </w:r>
      <w:r>
        <w:t xml:space="preserve"> pro capite superiore a quello dell’Italia, il mio </w:t>
      </w:r>
      <w:r w:rsidR="00EF05BC">
        <w:t>P</w:t>
      </w:r>
      <w:r>
        <w:t xml:space="preserve">aese natale, o che figurasse tra i primi dieci </w:t>
      </w:r>
      <w:r w:rsidR="00EF05BC">
        <w:t>P</w:t>
      </w:r>
      <w:r>
        <w:t>aesi al mondo per svariati parametri</w:t>
      </w:r>
      <w:r w:rsidR="005360CC">
        <w:t xml:space="preserve">, come la </w:t>
      </w:r>
      <w:r>
        <w:t xml:space="preserve">competitività globale e </w:t>
      </w:r>
      <w:r w:rsidR="005360CC">
        <w:t>l’</w:t>
      </w:r>
      <w:r>
        <w:t>innovazione digitale</w:t>
      </w:r>
      <w:r w:rsidR="00F21069" w:rsidRPr="00FA2850">
        <w:t>.</w:t>
      </w:r>
    </w:p>
    <w:p w14:paraId="3B240DF6" w14:textId="77777777" w:rsidR="00325B5A" w:rsidRDefault="00325B5A" w:rsidP="00325B5A">
      <w:pPr>
        <w:spacing w:after="0" w:line="240" w:lineRule="auto"/>
        <w:contextualSpacing/>
      </w:pPr>
    </w:p>
    <w:p w14:paraId="2DF236C5" w14:textId="22DAB37A" w:rsidR="00F21069" w:rsidRDefault="00FA2850" w:rsidP="00325B5A">
      <w:pPr>
        <w:spacing w:after="0" w:line="240" w:lineRule="auto"/>
        <w:contextualSpacing/>
      </w:pPr>
      <w:r>
        <w:t>Negli ultimi vent’anni</w:t>
      </w:r>
      <w:r w:rsidR="00EF05BC">
        <w:t>,</w:t>
      </w:r>
      <w:r>
        <w:t xml:space="preserve"> </w:t>
      </w:r>
      <w:r w:rsidRPr="005360CC">
        <w:rPr>
          <w:b/>
          <w:bCs/>
        </w:rPr>
        <w:t xml:space="preserve">il </w:t>
      </w:r>
      <w:r w:rsidR="005F0569" w:rsidRPr="005360CC">
        <w:rPr>
          <w:b/>
          <w:bCs/>
        </w:rPr>
        <w:t>surplus</w:t>
      </w:r>
      <w:r w:rsidRPr="005360CC">
        <w:rPr>
          <w:b/>
          <w:bCs/>
        </w:rPr>
        <w:t xml:space="preserve"> delle partite correnti di </w:t>
      </w:r>
      <w:r w:rsidR="00F21069" w:rsidRPr="005360CC">
        <w:rPr>
          <w:b/>
          <w:bCs/>
        </w:rPr>
        <w:t>Taiwan</w:t>
      </w:r>
      <w:r w:rsidR="00EB1D81" w:rsidRPr="005360CC">
        <w:rPr>
          <w:b/>
          <w:bCs/>
        </w:rPr>
        <w:t xml:space="preserve"> è</w:t>
      </w:r>
      <w:r w:rsidR="00F21069" w:rsidRPr="005360CC">
        <w:rPr>
          <w:b/>
          <w:bCs/>
        </w:rPr>
        <w:t xml:space="preserve"> </w:t>
      </w:r>
      <w:r w:rsidR="005F0569" w:rsidRPr="005360CC">
        <w:rPr>
          <w:b/>
          <w:bCs/>
        </w:rPr>
        <w:t>cresciuto dal 2% al 14% del P</w:t>
      </w:r>
      <w:r w:rsidR="00EB1D81" w:rsidRPr="005360CC">
        <w:rPr>
          <w:b/>
          <w:bCs/>
        </w:rPr>
        <w:t>il</w:t>
      </w:r>
      <w:r w:rsidR="005F0569">
        <w:t>,</w:t>
      </w:r>
      <w:r w:rsidR="00364119">
        <w:t xml:space="preserve"> il secondo maggiore al mondo,</w:t>
      </w:r>
      <w:r w:rsidR="005F0569">
        <w:t xml:space="preserve"> </w:t>
      </w:r>
      <w:r w:rsidR="00EF05BC">
        <w:t>e riflette</w:t>
      </w:r>
      <w:r w:rsidR="005F0569">
        <w:t xml:space="preserve"> la competitività del </w:t>
      </w:r>
      <w:r w:rsidR="00EF05BC">
        <w:t>P</w:t>
      </w:r>
      <w:r w:rsidR="005F0569">
        <w:t>aese</w:t>
      </w:r>
      <w:r w:rsidR="00EF05BC">
        <w:t>,</w:t>
      </w:r>
      <w:r w:rsidR="005F0569">
        <w:t xml:space="preserve"> che si </w:t>
      </w:r>
      <w:r w:rsidR="00364119">
        <w:t>fonda</w:t>
      </w:r>
      <w:r w:rsidR="005F0569">
        <w:t xml:space="preserve"> su innovazione, eccellenza manifattu</w:t>
      </w:r>
      <w:r w:rsidR="00903A1D">
        <w:t>r</w:t>
      </w:r>
      <w:r w:rsidR="005F0569">
        <w:t>iera e</w:t>
      </w:r>
      <w:r w:rsidR="00F21069" w:rsidRPr="00FA2850">
        <w:t xml:space="preserve">, </w:t>
      </w:r>
      <w:r w:rsidR="000B7485">
        <w:t>soprattutto</w:t>
      </w:r>
      <w:r w:rsidR="00F21069" w:rsidRPr="00FA2850">
        <w:t xml:space="preserve">, </w:t>
      </w:r>
      <w:r w:rsidR="005F0569">
        <w:t>fiducia</w:t>
      </w:r>
      <w:r w:rsidR="00F21069" w:rsidRPr="00FA2850">
        <w:t>.</w:t>
      </w:r>
    </w:p>
    <w:p w14:paraId="1C5AFCC2" w14:textId="77777777" w:rsidR="00325B5A" w:rsidRPr="00FA2850" w:rsidRDefault="00325B5A" w:rsidP="00325B5A">
      <w:pPr>
        <w:spacing w:after="0" w:line="240" w:lineRule="auto"/>
        <w:contextualSpacing/>
      </w:pPr>
    </w:p>
    <w:p w14:paraId="50306F2C" w14:textId="196614A5" w:rsidR="00F21069" w:rsidRDefault="005D0F80" w:rsidP="00325B5A">
      <w:pPr>
        <w:spacing w:after="0" w:line="240" w:lineRule="auto"/>
        <w:contextualSpacing/>
        <w:rPr>
          <w:b/>
          <w:bCs/>
        </w:rPr>
      </w:pPr>
      <w:r>
        <w:t xml:space="preserve">Al momento, sono </w:t>
      </w:r>
      <w:r w:rsidRPr="005360CC">
        <w:rPr>
          <w:b/>
          <w:bCs/>
        </w:rPr>
        <w:t>due le domande chiave per gli investitori</w:t>
      </w:r>
      <w:r>
        <w:t>, a cui cercheremo di dare una risposta</w:t>
      </w:r>
      <w:r w:rsidR="00325B5A">
        <w:t xml:space="preserve">. </w:t>
      </w:r>
      <w:r w:rsidR="00325B5A" w:rsidRPr="00325B5A">
        <w:rPr>
          <w:b/>
          <w:bCs/>
        </w:rPr>
        <w:t>In primo luogo, l</w:t>
      </w:r>
      <w:r w:rsidR="00E950DB" w:rsidRPr="00325B5A">
        <w:rPr>
          <w:b/>
          <w:bCs/>
        </w:rPr>
        <w:t xml:space="preserve">e aziende di </w:t>
      </w:r>
      <w:r w:rsidR="00F21069" w:rsidRPr="00325B5A">
        <w:rPr>
          <w:b/>
          <w:bCs/>
        </w:rPr>
        <w:t>Taiwan</w:t>
      </w:r>
      <w:r w:rsidR="00E950DB" w:rsidRPr="00325B5A">
        <w:rPr>
          <w:b/>
          <w:bCs/>
        </w:rPr>
        <w:t xml:space="preserve"> saranno in grado di </w:t>
      </w:r>
      <w:r w:rsidR="00325B5A">
        <w:rPr>
          <w:b/>
          <w:bCs/>
        </w:rPr>
        <w:t xml:space="preserve">migliorare o </w:t>
      </w:r>
      <w:r w:rsidR="00E950DB" w:rsidRPr="00325B5A">
        <w:rPr>
          <w:b/>
          <w:bCs/>
        </w:rPr>
        <w:t xml:space="preserve">mantenere le loro posizioni </w:t>
      </w:r>
      <w:r w:rsidR="00F21069" w:rsidRPr="00325B5A">
        <w:rPr>
          <w:b/>
          <w:bCs/>
        </w:rPr>
        <w:t xml:space="preserve">competitive </w:t>
      </w:r>
      <w:r w:rsidR="00D02ABC" w:rsidRPr="00325B5A">
        <w:rPr>
          <w:b/>
          <w:bCs/>
        </w:rPr>
        <w:t>n</w:t>
      </w:r>
      <w:r w:rsidR="00E950DB" w:rsidRPr="00325B5A">
        <w:rPr>
          <w:b/>
          <w:bCs/>
        </w:rPr>
        <w:t>elle catene di fornitura globali</w:t>
      </w:r>
      <w:r w:rsidR="00F21069" w:rsidRPr="00325B5A">
        <w:rPr>
          <w:b/>
          <w:bCs/>
        </w:rPr>
        <w:t>?</w:t>
      </w:r>
    </w:p>
    <w:p w14:paraId="20FDC4F8" w14:textId="77777777" w:rsidR="00325B5A" w:rsidRPr="00325B5A" w:rsidRDefault="00325B5A" w:rsidP="00325B5A">
      <w:pPr>
        <w:spacing w:after="0" w:line="240" w:lineRule="auto"/>
        <w:contextualSpacing/>
        <w:rPr>
          <w:b/>
          <w:bCs/>
        </w:rPr>
      </w:pPr>
    </w:p>
    <w:p w14:paraId="07C72FBC" w14:textId="41FEA4AF" w:rsidR="00F21069" w:rsidRDefault="005D0F80" w:rsidP="00325B5A">
      <w:pPr>
        <w:spacing w:after="0" w:line="240" w:lineRule="auto"/>
        <w:contextualSpacing/>
      </w:pPr>
      <w:r>
        <w:t xml:space="preserve">Le </w:t>
      </w:r>
      <w:r w:rsidR="00BE3AC1">
        <w:t xml:space="preserve">aziende taiwanesi </w:t>
      </w:r>
      <w:r w:rsidR="00D06757">
        <w:t>versano</w:t>
      </w:r>
      <w:r w:rsidR="00BE3AC1">
        <w:t xml:space="preserve"> in una situazione difficile</w:t>
      </w:r>
      <w:r w:rsidR="00F21069" w:rsidRPr="00FA2850">
        <w:t xml:space="preserve">, </w:t>
      </w:r>
      <w:r w:rsidR="00BE3AC1">
        <w:t>che rappresenta paradossalmente la maledizione del loro successo</w:t>
      </w:r>
      <w:r w:rsidR="00F21069" w:rsidRPr="00FA2850">
        <w:t xml:space="preserve">. </w:t>
      </w:r>
      <w:r w:rsidR="00BE3AC1">
        <w:t>Negli ultimi dieci anni</w:t>
      </w:r>
      <w:r w:rsidR="007B2211">
        <w:t>,</w:t>
      </w:r>
      <w:r w:rsidR="00BE3AC1">
        <w:t xml:space="preserve"> </w:t>
      </w:r>
      <w:r w:rsidR="00F21069" w:rsidRPr="005360CC">
        <w:rPr>
          <w:b/>
          <w:bCs/>
        </w:rPr>
        <w:t xml:space="preserve">Taiwan </w:t>
      </w:r>
      <w:r w:rsidR="00BE3AC1" w:rsidRPr="005360CC">
        <w:rPr>
          <w:b/>
          <w:bCs/>
        </w:rPr>
        <w:t>è diventata un</w:t>
      </w:r>
      <w:r w:rsidR="003A4FE3" w:rsidRPr="005360CC">
        <w:rPr>
          <w:b/>
          <w:bCs/>
        </w:rPr>
        <w:t>a</w:t>
      </w:r>
      <w:r w:rsidR="00D06757" w:rsidRPr="005360CC">
        <w:rPr>
          <w:b/>
          <w:bCs/>
        </w:rPr>
        <w:t xml:space="preserve"> </w:t>
      </w:r>
      <w:r w:rsidR="003A4FE3" w:rsidRPr="005360CC">
        <w:rPr>
          <w:b/>
          <w:bCs/>
        </w:rPr>
        <w:t>parte</w:t>
      </w:r>
      <w:r w:rsidR="00D06757" w:rsidRPr="005360CC">
        <w:rPr>
          <w:b/>
          <w:bCs/>
        </w:rPr>
        <w:t xml:space="preserve"> </w:t>
      </w:r>
      <w:r w:rsidR="00BE3AC1" w:rsidRPr="005360CC">
        <w:rPr>
          <w:b/>
          <w:bCs/>
        </w:rPr>
        <w:t>indispensabile delle catene di approvvigionamento globali di molti settori</w:t>
      </w:r>
      <w:r w:rsidR="00F21069" w:rsidRPr="00FA2850">
        <w:t xml:space="preserve">. </w:t>
      </w:r>
      <w:r w:rsidR="00BE3AC1">
        <w:t xml:space="preserve">Tuttavia, questa importanza </w:t>
      </w:r>
      <w:r w:rsidR="00D06757">
        <w:t xml:space="preserve">ha </w:t>
      </w:r>
      <w:r w:rsidR="007B2211">
        <w:t>generato</w:t>
      </w:r>
      <w:r w:rsidR="00BE3AC1">
        <w:t xml:space="preserve"> </w:t>
      </w:r>
      <w:r w:rsidR="00BE3AC1" w:rsidRPr="005360CC">
        <w:t>pressioni</w:t>
      </w:r>
      <w:r w:rsidR="005360CC">
        <w:t xml:space="preserve">, </w:t>
      </w:r>
      <w:r w:rsidR="00BE3AC1">
        <w:t>soprattutto da clienti statunitensi ed europei</w:t>
      </w:r>
      <w:r w:rsidR="005360CC">
        <w:t>,</w:t>
      </w:r>
      <w:r>
        <w:t xml:space="preserve"> </w:t>
      </w:r>
      <w:r w:rsidR="00BE3AC1">
        <w:t xml:space="preserve">affinché le aziende riducano </w:t>
      </w:r>
      <w:r>
        <w:t xml:space="preserve">questo </w:t>
      </w:r>
      <w:r w:rsidR="003A4FE3">
        <w:t>legame</w:t>
      </w:r>
      <w:r w:rsidR="00BE3AC1">
        <w:t xml:space="preserve"> e</w:t>
      </w:r>
      <w:r w:rsidR="00F21069" w:rsidRPr="00FA2850">
        <w:t xml:space="preserve">, </w:t>
      </w:r>
      <w:r w:rsidR="00BE3AC1">
        <w:t>laddove ciò non sia possibile</w:t>
      </w:r>
      <w:r w:rsidR="00F21069" w:rsidRPr="00FA2850">
        <w:t xml:space="preserve">, </w:t>
      </w:r>
      <w:r w:rsidR="00BE3AC1">
        <w:t xml:space="preserve">limitino i rischi associati a tale inevitabile dipendenza, tra cui quelli </w:t>
      </w:r>
      <w:r w:rsidR="00F21069" w:rsidRPr="00FA2850">
        <w:t>geopolitic</w:t>
      </w:r>
      <w:r w:rsidR="00BE3AC1">
        <w:t xml:space="preserve">i e </w:t>
      </w:r>
      <w:r w:rsidR="007B2211">
        <w:t>reputazionali</w:t>
      </w:r>
      <w:r w:rsidR="005360CC">
        <w:t xml:space="preserve">, </w:t>
      </w:r>
      <w:r w:rsidR="00B51436">
        <w:t xml:space="preserve">in </w:t>
      </w:r>
      <w:r w:rsidR="00D06757">
        <w:t>relazione</w:t>
      </w:r>
      <w:r w:rsidR="00B51436">
        <w:t xml:space="preserve"> all’</w:t>
      </w:r>
      <w:r w:rsidR="007B2211">
        <w:t xml:space="preserve">ambito </w:t>
      </w:r>
      <w:r w:rsidR="00B51436">
        <w:t>ESG</w:t>
      </w:r>
      <w:r w:rsidR="00F21069" w:rsidRPr="00FA2850">
        <w:t>.</w:t>
      </w:r>
      <w:r w:rsidR="00325B5A">
        <w:t xml:space="preserve"> </w:t>
      </w:r>
      <w:r w:rsidR="00B51436">
        <w:t xml:space="preserve">Tali aziende si trovano </w:t>
      </w:r>
      <w:r w:rsidR="005360CC">
        <w:t xml:space="preserve">quindi </w:t>
      </w:r>
      <w:r w:rsidR="00B51436">
        <w:t xml:space="preserve">a dover </w:t>
      </w:r>
      <w:r w:rsidR="00AE1628" w:rsidRPr="005360CC">
        <w:rPr>
          <w:b/>
          <w:bCs/>
        </w:rPr>
        <w:t>bilanciare le esigenze</w:t>
      </w:r>
      <w:r w:rsidR="00B51436" w:rsidRPr="005360CC">
        <w:rPr>
          <w:b/>
          <w:bCs/>
        </w:rPr>
        <w:t xml:space="preserve"> dei vari </w:t>
      </w:r>
      <w:r w:rsidR="00AE1628" w:rsidRPr="005360CC">
        <w:rPr>
          <w:b/>
          <w:bCs/>
        </w:rPr>
        <w:t>stakeholder</w:t>
      </w:r>
      <w:r w:rsidR="00F21069" w:rsidRPr="00FA2850">
        <w:t xml:space="preserve">, </w:t>
      </w:r>
      <w:r w:rsidR="00B51436">
        <w:t>dagli interessi a breve termin</w:t>
      </w:r>
      <w:r>
        <w:t>e</w:t>
      </w:r>
      <w:r w:rsidR="00B51436">
        <w:t xml:space="preserve"> di molti inves</w:t>
      </w:r>
      <w:r w:rsidR="006374DD">
        <w:t>t</w:t>
      </w:r>
      <w:r w:rsidR="00B51436">
        <w:t>itori, che spesso tendono a concentrarsi sugli utili del trimestre successivo</w:t>
      </w:r>
      <w:r w:rsidR="00F21069" w:rsidRPr="00FA2850">
        <w:t xml:space="preserve">, </w:t>
      </w:r>
      <w:r w:rsidR="00B51436">
        <w:t>a quelli dei loro clienti</w:t>
      </w:r>
      <w:r w:rsidR="00F21069" w:rsidRPr="00FA2850">
        <w:t>.</w:t>
      </w:r>
    </w:p>
    <w:p w14:paraId="6DD6EC68" w14:textId="77777777" w:rsidR="00325B5A" w:rsidRPr="00FA2850" w:rsidRDefault="00325B5A" w:rsidP="00325B5A">
      <w:pPr>
        <w:spacing w:after="0" w:line="240" w:lineRule="auto"/>
        <w:contextualSpacing/>
      </w:pPr>
    </w:p>
    <w:p w14:paraId="668EE0EA" w14:textId="5B9D5BD8" w:rsidR="00F21069" w:rsidRDefault="00A053AB" w:rsidP="00325B5A">
      <w:pPr>
        <w:spacing w:after="0" w:line="240" w:lineRule="auto"/>
        <w:contextualSpacing/>
      </w:pPr>
      <w:r>
        <w:t>In riferimento</w:t>
      </w:r>
      <w:r w:rsidR="00DC41F5">
        <w:t xml:space="preserve"> al rischio </w:t>
      </w:r>
      <w:r w:rsidR="00F21069" w:rsidRPr="00FA2850">
        <w:t>geopolitic</w:t>
      </w:r>
      <w:r w:rsidR="00DC41F5">
        <w:t>o</w:t>
      </w:r>
      <w:r w:rsidR="00F21069" w:rsidRPr="00FA2850">
        <w:t xml:space="preserve">, </w:t>
      </w:r>
      <w:r w:rsidR="00DC41F5">
        <w:t xml:space="preserve">numerose aziende di </w:t>
      </w:r>
      <w:r w:rsidR="00F21069" w:rsidRPr="00FA2850">
        <w:t>Taiwan</w:t>
      </w:r>
      <w:r w:rsidR="00DC41F5">
        <w:t xml:space="preserve"> hanno sub</w:t>
      </w:r>
      <w:r w:rsidR="004A4FC1">
        <w:t>i</w:t>
      </w:r>
      <w:r w:rsidR="00DC41F5">
        <w:t>to pressioni per diversificare la loro produzione e</w:t>
      </w:r>
      <w:r>
        <w:t>,</w:t>
      </w:r>
      <w:r w:rsidR="00DC41F5">
        <w:t xml:space="preserve"> di conseguenza</w:t>
      </w:r>
      <w:r>
        <w:t>,</w:t>
      </w:r>
      <w:r w:rsidR="00DC41F5">
        <w:t xml:space="preserve"> hanno investito in </w:t>
      </w:r>
      <w:r w:rsidR="00DC41F5" w:rsidRPr="005360CC">
        <w:rPr>
          <w:b/>
          <w:bCs/>
        </w:rPr>
        <w:t>capacità produttiva nel Sud-est asiatico e negli USA</w:t>
      </w:r>
      <w:r w:rsidR="00CA5101">
        <w:t xml:space="preserve">. </w:t>
      </w:r>
      <w:r w:rsidR="00CA5101" w:rsidRPr="005360CC">
        <w:rPr>
          <w:b/>
          <w:bCs/>
        </w:rPr>
        <w:t xml:space="preserve">La produttività e le strutture dei costi </w:t>
      </w:r>
      <w:r w:rsidR="00F21069" w:rsidRPr="005360CC">
        <w:rPr>
          <w:b/>
          <w:bCs/>
        </w:rPr>
        <w:t xml:space="preserve">in </w:t>
      </w:r>
      <w:r w:rsidR="00CA5101" w:rsidRPr="005360CC">
        <w:rPr>
          <w:b/>
          <w:bCs/>
        </w:rPr>
        <w:t xml:space="preserve">queste </w:t>
      </w:r>
      <w:r w:rsidR="00F21069" w:rsidRPr="005360CC">
        <w:rPr>
          <w:b/>
          <w:bCs/>
        </w:rPr>
        <w:t>region</w:t>
      </w:r>
      <w:r w:rsidR="00CA5101" w:rsidRPr="005360CC">
        <w:rPr>
          <w:b/>
          <w:bCs/>
        </w:rPr>
        <w:t>i</w:t>
      </w:r>
      <w:r w:rsidR="00F21069" w:rsidRPr="005360CC">
        <w:rPr>
          <w:b/>
          <w:bCs/>
        </w:rPr>
        <w:t xml:space="preserve"> tend</w:t>
      </w:r>
      <w:r w:rsidR="00CA5101" w:rsidRPr="005360CC">
        <w:rPr>
          <w:b/>
          <w:bCs/>
        </w:rPr>
        <w:t xml:space="preserve">ono a essere meno </w:t>
      </w:r>
      <w:r w:rsidR="00F21069" w:rsidRPr="005360CC">
        <w:rPr>
          <w:b/>
          <w:bCs/>
        </w:rPr>
        <w:t>competitive</w:t>
      </w:r>
      <w:r w:rsidR="00F21069" w:rsidRPr="00FA2850">
        <w:t xml:space="preserve"> </w:t>
      </w:r>
      <w:r w:rsidR="00CA5101">
        <w:t xml:space="preserve">rispetto a </w:t>
      </w:r>
      <w:r w:rsidR="00F21069" w:rsidRPr="00FA2850">
        <w:t xml:space="preserve">Taiwan </w:t>
      </w:r>
      <w:r w:rsidR="00CA5101">
        <w:t xml:space="preserve">e </w:t>
      </w:r>
      <w:r w:rsidR="00F21069" w:rsidRPr="00FA2850">
        <w:t>Cin</w:t>
      </w:r>
      <w:r w:rsidR="00322FC1">
        <w:t>a</w:t>
      </w:r>
      <w:r w:rsidR="00F21069" w:rsidRPr="00FA2850">
        <w:t xml:space="preserve">, </w:t>
      </w:r>
      <w:r w:rsidR="00CA5101">
        <w:t>il che diluisce i rendimenti</w:t>
      </w:r>
      <w:r w:rsidR="00F21069" w:rsidRPr="00FA2850">
        <w:t xml:space="preserve">. </w:t>
      </w:r>
      <w:r w:rsidR="00CA5101">
        <w:t>Finora le imprese taiwanesi sono riuscite a mantenere la redditività nella transizione verso prodotti a più alto valore aggiunto</w:t>
      </w:r>
      <w:r w:rsidR="00F21069" w:rsidRPr="00FA2850">
        <w:t xml:space="preserve">, </w:t>
      </w:r>
      <w:r w:rsidR="00CA5101">
        <w:t xml:space="preserve">sebbene sia difficile immaginare </w:t>
      </w:r>
      <w:r>
        <w:t xml:space="preserve">dei </w:t>
      </w:r>
      <w:r w:rsidR="00CA5101">
        <w:t>miglioramenti in futuro, visti gli ostacoli e i livelli raggiunti</w:t>
      </w:r>
      <w:r w:rsidR="00F21069" w:rsidRPr="00FA2850">
        <w:t>.</w:t>
      </w:r>
    </w:p>
    <w:p w14:paraId="31323C59" w14:textId="77777777" w:rsidR="00325B5A" w:rsidRPr="00FA2850" w:rsidRDefault="00325B5A" w:rsidP="00325B5A">
      <w:pPr>
        <w:spacing w:after="0" w:line="240" w:lineRule="auto"/>
        <w:contextualSpacing/>
      </w:pPr>
    </w:p>
    <w:p w14:paraId="12619A23" w14:textId="646ACE70" w:rsidR="00F21069" w:rsidRDefault="00A00A11" w:rsidP="00325B5A">
      <w:pPr>
        <w:spacing w:after="0" w:line="240" w:lineRule="auto"/>
        <w:contextualSpacing/>
      </w:pPr>
      <w:r>
        <w:t xml:space="preserve">Anche misurare, </w:t>
      </w:r>
      <w:r w:rsidRPr="005360CC">
        <w:rPr>
          <w:b/>
          <w:bCs/>
        </w:rPr>
        <w:t>rendicontare e migliorare gli indicatori ESG ha un costo</w:t>
      </w:r>
      <w:r>
        <w:t xml:space="preserve"> e</w:t>
      </w:r>
      <w:r w:rsidR="00322FC1">
        <w:t xml:space="preserve"> </w:t>
      </w:r>
      <w:r w:rsidR="00F02704">
        <w:t>ciò</w:t>
      </w:r>
      <w:r>
        <w:t xml:space="preserve"> spesso non viene trasferito completamente, frapponendosi come ostacolo a ulteriori miglioramenti della redditività</w:t>
      </w:r>
      <w:r w:rsidR="00F21069" w:rsidRPr="00FA2850">
        <w:t xml:space="preserve">. </w:t>
      </w:r>
      <w:r w:rsidR="00221D47">
        <w:t>Ad esempio, l</w:t>
      </w:r>
      <w:r w:rsidR="00221D47" w:rsidRPr="00221D47">
        <w:t>a matrice energetica di Taiwan è fortemente dipendente dai combustibili fossili</w:t>
      </w:r>
      <w:r w:rsidR="00F21069" w:rsidRPr="00FA2850">
        <w:t xml:space="preserve">. </w:t>
      </w:r>
      <w:r w:rsidR="00221D47">
        <w:t>Nel</w:t>
      </w:r>
      <w:r w:rsidR="00F21069" w:rsidRPr="00FA2850">
        <w:t xml:space="preserve"> 2023, </w:t>
      </w:r>
      <w:r w:rsidR="006374DD">
        <w:t>circa l’</w:t>
      </w:r>
      <w:r w:rsidR="00F21069" w:rsidRPr="00FA2850">
        <w:t xml:space="preserve">80% </w:t>
      </w:r>
      <w:r w:rsidR="006374DD">
        <w:t xml:space="preserve">della generazione di elettricità di </w:t>
      </w:r>
      <w:r w:rsidR="00F21069" w:rsidRPr="00FA2850">
        <w:t>Taiwan</w:t>
      </w:r>
      <w:r w:rsidR="006374DD">
        <w:t xml:space="preserve"> e oltre il </w:t>
      </w:r>
      <w:r w:rsidR="00F21069" w:rsidRPr="00FA2850">
        <w:t xml:space="preserve">95% </w:t>
      </w:r>
      <w:r w:rsidR="006374DD">
        <w:t>del suo consumo di energia proveniva da questi combustibili</w:t>
      </w:r>
      <w:r w:rsidR="00F21069" w:rsidRPr="00FA2850">
        <w:t xml:space="preserve">. </w:t>
      </w:r>
      <w:r w:rsidR="00E81195">
        <w:t>Il governo ha stilato un piano ambizioso</w:t>
      </w:r>
      <w:r w:rsidR="00F02704">
        <w:t>,</w:t>
      </w:r>
      <w:r w:rsidR="00E81195">
        <w:t xml:space="preserve"> che fissa come obiettivo il </w:t>
      </w:r>
      <w:r w:rsidR="00F21069" w:rsidRPr="00FA2850">
        <w:t xml:space="preserve">20% </w:t>
      </w:r>
      <w:r w:rsidR="00E81195">
        <w:t xml:space="preserve">di energia dalle rinnovabili per la fine del </w:t>
      </w:r>
      <w:r w:rsidR="00F21069" w:rsidRPr="00FA2850">
        <w:t xml:space="preserve">2025, </w:t>
      </w:r>
      <w:r w:rsidR="00E81195">
        <w:t>che salirà al</w:t>
      </w:r>
      <w:r w:rsidR="00F21069" w:rsidRPr="00FA2850">
        <w:t xml:space="preserve"> 40% </w:t>
      </w:r>
      <w:r w:rsidR="00E81195">
        <w:t>entro il</w:t>
      </w:r>
      <w:r w:rsidR="00F02704">
        <w:t xml:space="preserve"> 2030</w:t>
      </w:r>
      <w:r w:rsidR="00F21069" w:rsidRPr="00FA2850">
        <w:t xml:space="preserve">, </w:t>
      </w:r>
      <w:r w:rsidR="00E81195">
        <w:t>ma i progressi sono stati lenti finora</w:t>
      </w:r>
      <w:r w:rsidR="00F21069" w:rsidRPr="00FA2850">
        <w:t xml:space="preserve">. </w:t>
      </w:r>
      <w:r w:rsidR="00E81195">
        <w:t xml:space="preserve">Finché gli sforzi del </w:t>
      </w:r>
      <w:r w:rsidR="00F02704">
        <w:t>P</w:t>
      </w:r>
      <w:r w:rsidR="00E81195">
        <w:t xml:space="preserve">aese </w:t>
      </w:r>
      <w:r w:rsidR="00A024E9">
        <w:t xml:space="preserve">in materia di </w:t>
      </w:r>
      <w:r w:rsidR="00E81195">
        <w:t>infrastruttur</w:t>
      </w:r>
      <w:r w:rsidR="00A024E9">
        <w:t>e</w:t>
      </w:r>
      <w:r w:rsidR="00E81195">
        <w:t xml:space="preserve"> verd</w:t>
      </w:r>
      <w:r w:rsidR="00A024E9">
        <w:t>i</w:t>
      </w:r>
      <w:r w:rsidR="00E81195">
        <w:t xml:space="preserve"> non cominceranno a dare </w:t>
      </w:r>
      <w:r w:rsidR="009D308B">
        <w:t>i loro frutti</w:t>
      </w:r>
      <w:r w:rsidR="00E81195">
        <w:t>, le aziende non avranno molta scelta</w:t>
      </w:r>
      <w:r w:rsidR="00F02704">
        <w:t>,</w:t>
      </w:r>
      <w:r w:rsidR="00E81195">
        <w:t xml:space="preserve"> </w:t>
      </w:r>
      <w:r w:rsidR="00A024E9">
        <w:t>se non quella di pagare prezzi più alti per l’energia rinnovabile</w:t>
      </w:r>
      <w:r w:rsidR="00F21069" w:rsidRPr="00FA2850">
        <w:t xml:space="preserve">, </w:t>
      </w:r>
      <w:r w:rsidR="00A024E9">
        <w:t xml:space="preserve">acquistare crediti di carbonio e/o investire </w:t>
      </w:r>
      <w:r w:rsidR="00A024E9" w:rsidRPr="00A024E9">
        <w:t>a caro prezzo nelle proprie energie rinnovabili off-</w:t>
      </w:r>
      <w:proofErr w:type="spellStart"/>
      <w:r w:rsidR="00A024E9" w:rsidRPr="00A024E9">
        <w:t>grid</w:t>
      </w:r>
      <w:proofErr w:type="spellEnd"/>
      <w:r w:rsidR="00F21069" w:rsidRPr="00FA2850">
        <w:t>.</w:t>
      </w:r>
    </w:p>
    <w:p w14:paraId="7142FDC1" w14:textId="77777777" w:rsidR="00325B5A" w:rsidRPr="00FA2850" w:rsidRDefault="00325B5A" w:rsidP="00325B5A">
      <w:pPr>
        <w:spacing w:after="0" w:line="240" w:lineRule="auto"/>
        <w:contextualSpacing/>
      </w:pPr>
    </w:p>
    <w:p w14:paraId="014D3012" w14:textId="7EF10662" w:rsidR="00F21069" w:rsidRDefault="009175FA" w:rsidP="00325B5A">
      <w:pPr>
        <w:spacing w:after="0" w:line="240" w:lineRule="auto"/>
        <w:contextualSpacing/>
      </w:pPr>
      <w:r>
        <w:t xml:space="preserve">Un aspetto positivo delle aziende </w:t>
      </w:r>
      <w:r w:rsidR="002E460D">
        <w:t>di Taiwan</w:t>
      </w:r>
      <w:r>
        <w:t xml:space="preserve">, molte delle quali ancora a </w:t>
      </w:r>
      <w:r w:rsidR="002E460D">
        <w:t>conduzione</w:t>
      </w:r>
      <w:r>
        <w:t xml:space="preserve"> familiare</w:t>
      </w:r>
      <w:r w:rsidR="009D308B">
        <w:t>,</w:t>
      </w:r>
      <w:r>
        <w:t xml:space="preserve"> è la loro visione a lungo termine</w:t>
      </w:r>
      <w:r w:rsidR="00F21069" w:rsidRPr="00FA2850">
        <w:t xml:space="preserve">. </w:t>
      </w:r>
      <w:r>
        <w:t xml:space="preserve">Sono disposte a sacrificare il profitto a breve </w:t>
      </w:r>
      <w:r w:rsidR="00F21069" w:rsidRPr="00FA2850">
        <w:t>term</w:t>
      </w:r>
      <w:r>
        <w:t xml:space="preserve">ine agendo in </w:t>
      </w:r>
      <w:r w:rsidR="00A76219">
        <w:t xml:space="preserve">un </w:t>
      </w:r>
      <w:r>
        <w:t xml:space="preserve">modo </w:t>
      </w:r>
      <w:r w:rsidR="00A76219">
        <w:t>che</w:t>
      </w:r>
      <w:r w:rsidR="005360CC">
        <w:t>,</w:t>
      </w:r>
      <w:r w:rsidR="00A76219">
        <w:t xml:space="preserve"> pur non generando rendimenti per anni</w:t>
      </w:r>
      <w:r w:rsidR="005360CC">
        <w:t xml:space="preserve">, </w:t>
      </w:r>
      <w:r w:rsidR="00A76219">
        <w:t>dovrebbe migliorar</w:t>
      </w:r>
      <w:r w:rsidR="002E460D">
        <w:t>n</w:t>
      </w:r>
      <w:r w:rsidR="00A76219">
        <w:t>e il franchise nel tempo</w:t>
      </w:r>
      <w:r w:rsidR="00F21069" w:rsidRPr="00FA2850">
        <w:t xml:space="preserve">. </w:t>
      </w:r>
      <w:r w:rsidR="00C002C8">
        <w:t xml:space="preserve">Questo approccio </w:t>
      </w:r>
      <w:r w:rsidR="00AA633A">
        <w:t xml:space="preserve">è stato alla base del successo di </w:t>
      </w:r>
      <w:r w:rsidR="00F21069" w:rsidRPr="00FA2850">
        <w:t>Taiwan</w:t>
      </w:r>
      <w:r w:rsidR="00AA633A">
        <w:t xml:space="preserve"> e resta invariato, </w:t>
      </w:r>
      <w:r w:rsidR="00322FC1">
        <w:t xml:space="preserve">il che ci rende </w:t>
      </w:r>
      <w:r w:rsidR="00AA633A">
        <w:t>fiducios</w:t>
      </w:r>
      <w:r w:rsidR="00322FC1">
        <w:t>i</w:t>
      </w:r>
      <w:r w:rsidR="00AA633A">
        <w:t xml:space="preserve"> nella capacità del </w:t>
      </w:r>
      <w:r w:rsidR="0076124F">
        <w:t>P</w:t>
      </w:r>
      <w:r w:rsidR="00AA633A">
        <w:t>aese di superare brillantemente questi ostacoli</w:t>
      </w:r>
      <w:r w:rsidR="00F21069" w:rsidRPr="00FA2850">
        <w:t>.</w:t>
      </w:r>
    </w:p>
    <w:p w14:paraId="56A0C2E6" w14:textId="77777777" w:rsidR="00325B5A" w:rsidRPr="00FA2850" w:rsidRDefault="00325B5A" w:rsidP="00325B5A">
      <w:pPr>
        <w:spacing w:after="0" w:line="240" w:lineRule="auto"/>
        <w:contextualSpacing/>
      </w:pPr>
    </w:p>
    <w:p w14:paraId="6F150359" w14:textId="02159B27" w:rsidR="00F21069" w:rsidRPr="00325B5A" w:rsidRDefault="00325B5A" w:rsidP="00325B5A">
      <w:pPr>
        <w:spacing w:after="0" w:line="240" w:lineRule="auto"/>
        <w:contextualSpacing/>
      </w:pPr>
      <w:r w:rsidRPr="00325B5A">
        <w:rPr>
          <w:b/>
          <w:bCs/>
        </w:rPr>
        <w:t xml:space="preserve">In secondo luogo, </w:t>
      </w:r>
      <w:r w:rsidRPr="00325B5A">
        <w:rPr>
          <w:b/>
          <w:bCs/>
        </w:rPr>
        <w:t>il settore dell’Information Technology, che ha registrato una performance molto brillante negli ultimi 18 mesi, sarà capace di confermarla per il 2024 e oltre?</w:t>
      </w:r>
      <w:r w:rsidRPr="00325B5A">
        <w:t xml:space="preserve"> Vale la pena di sottolineare che Taiwan rappresenta circa due terzi della capitalizzazione di mercato del settore IT sui mercati emergenti.</w:t>
      </w:r>
    </w:p>
    <w:p w14:paraId="3B54E0B5" w14:textId="5371674D" w:rsidR="00F21069" w:rsidRDefault="00322FC1" w:rsidP="00325B5A">
      <w:pPr>
        <w:spacing w:after="0" w:line="240" w:lineRule="auto"/>
        <w:contextualSpacing/>
      </w:pPr>
      <w:r>
        <w:t>Le previsioni</w:t>
      </w:r>
      <w:r w:rsidR="007A0C41">
        <w:t xml:space="preserve"> del settore IT rendono necessario </w:t>
      </w:r>
      <w:r w:rsidR="00B06120">
        <w:t>un equilibrio tra</w:t>
      </w:r>
      <w:r w:rsidR="007A0C41">
        <w:t xml:space="preserve"> fattori a breve e lungo termine</w:t>
      </w:r>
      <w:r w:rsidR="00F21069" w:rsidRPr="00FA2850">
        <w:t xml:space="preserve">. </w:t>
      </w:r>
      <w:r w:rsidR="007A0C41" w:rsidRPr="005360CC">
        <w:rPr>
          <w:b/>
          <w:bCs/>
        </w:rPr>
        <w:t>Malgrado le forti</w:t>
      </w:r>
      <w:r w:rsidR="00F21069" w:rsidRPr="005360CC">
        <w:rPr>
          <w:b/>
          <w:bCs/>
        </w:rPr>
        <w:t xml:space="preserve"> </w:t>
      </w:r>
      <w:r w:rsidR="007A0C41" w:rsidRPr="005360CC">
        <w:rPr>
          <w:b/>
          <w:bCs/>
        </w:rPr>
        <w:t>spinte strutturali destinate a sostenerne la crescita nel lungo periodo</w:t>
      </w:r>
      <w:r w:rsidR="00F21069" w:rsidRPr="005360CC">
        <w:rPr>
          <w:b/>
          <w:bCs/>
        </w:rPr>
        <w:t xml:space="preserve">, </w:t>
      </w:r>
      <w:r w:rsidR="007A0C41" w:rsidRPr="005360CC">
        <w:rPr>
          <w:b/>
          <w:bCs/>
        </w:rPr>
        <w:t xml:space="preserve">il settore </w:t>
      </w:r>
      <w:r w:rsidR="00D76184" w:rsidRPr="005360CC">
        <w:rPr>
          <w:b/>
          <w:bCs/>
        </w:rPr>
        <w:t>resterà ciclico</w:t>
      </w:r>
      <w:r w:rsidR="00F21069" w:rsidRPr="00FA2850">
        <w:t xml:space="preserve">, </w:t>
      </w:r>
      <w:r w:rsidR="00197EE4">
        <w:t xml:space="preserve">con </w:t>
      </w:r>
      <w:r w:rsidR="00197EE4">
        <w:lastRenderedPageBreak/>
        <w:t>alti e bassi causati da a</w:t>
      </w:r>
      <w:r w:rsidR="00795617">
        <w:t>deguamenti</w:t>
      </w:r>
      <w:r w:rsidR="00197EE4">
        <w:t xml:space="preserve"> delle scorte</w:t>
      </w:r>
      <w:r w:rsidR="00F21069" w:rsidRPr="00FA2850">
        <w:t xml:space="preserve">, </w:t>
      </w:r>
      <w:r w:rsidR="00197EE4">
        <w:t>domanda, valutazioni e posizionamento degli investitori</w:t>
      </w:r>
      <w:r w:rsidR="00F21069" w:rsidRPr="00FA2850">
        <w:t xml:space="preserve">. </w:t>
      </w:r>
      <w:r w:rsidRPr="005360CC">
        <w:rPr>
          <w:b/>
          <w:bCs/>
        </w:rPr>
        <w:t>Qu</w:t>
      </w:r>
      <w:r w:rsidR="00197EE4" w:rsidRPr="005360CC">
        <w:rPr>
          <w:b/>
          <w:bCs/>
        </w:rPr>
        <w:t>esto ciclo sembr</w:t>
      </w:r>
      <w:r w:rsidR="00B06120" w:rsidRPr="005360CC">
        <w:rPr>
          <w:b/>
          <w:bCs/>
        </w:rPr>
        <w:t xml:space="preserve">a </w:t>
      </w:r>
      <w:r w:rsidR="00197EE4" w:rsidRPr="005360CC">
        <w:rPr>
          <w:b/>
          <w:bCs/>
        </w:rPr>
        <w:t>esteso e po</w:t>
      </w:r>
      <w:r w:rsidR="00B06120" w:rsidRPr="005360CC">
        <w:rPr>
          <w:b/>
          <w:bCs/>
        </w:rPr>
        <w:t>trebbe</w:t>
      </w:r>
      <w:r w:rsidR="00197EE4" w:rsidRPr="005360CC">
        <w:rPr>
          <w:b/>
          <w:bCs/>
        </w:rPr>
        <w:t xml:space="preserve"> non essere troppo lontano dal suo picco</w:t>
      </w:r>
      <w:r w:rsidRPr="005360CC">
        <w:rPr>
          <w:b/>
          <w:bCs/>
        </w:rPr>
        <w:t>, per diversi motivi</w:t>
      </w:r>
      <w:r>
        <w:t>.</w:t>
      </w:r>
    </w:p>
    <w:p w14:paraId="7659AA1B" w14:textId="77777777" w:rsidR="00325B5A" w:rsidRPr="00FA2850" w:rsidRDefault="00325B5A" w:rsidP="00325B5A">
      <w:pPr>
        <w:spacing w:after="0" w:line="240" w:lineRule="auto"/>
        <w:contextualSpacing/>
      </w:pPr>
    </w:p>
    <w:p w14:paraId="23265054" w14:textId="2774BA4C" w:rsidR="00F21069" w:rsidRDefault="00325B5A" w:rsidP="00325B5A">
      <w:pPr>
        <w:spacing w:after="0" w:line="240" w:lineRule="auto"/>
        <w:contextualSpacing/>
      </w:pPr>
      <w:r>
        <w:t>Prima di tutto</w:t>
      </w:r>
      <w:r w:rsidR="00E92F1B">
        <w:t>,</w:t>
      </w:r>
      <w:r w:rsidR="00691F02">
        <w:t xml:space="preserve"> la domanda è più esigua e debole rispetto ad altri cicli</w:t>
      </w:r>
      <w:r w:rsidR="00F21069" w:rsidRPr="00FA2850">
        <w:t>.</w:t>
      </w:r>
      <w:r w:rsidR="00691F02">
        <w:t xml:space="preserve"> </w:t>
      </w:r>
      <w:r w:rsidR="00322FC1">
        <w:t>L</w:t>
      </w:r>
      <w:r w:rsidR="00691F02">
        <w:t>’IA è il motore principale di questo ciclo</w:t>
      </w:r>
      <w:r w:rsidR="005360CC">
        <w:t xml:space="preserve">, </w:t>
      </w:r>
      <w:r>
        <w:t>nonostante ciò</w:t>
      </w:r>
      <w:r w:rsidR="007463B6">
        <w:t>,</w:t>
      </w:r>
      <w:r w:rsidR="00691F02">
        <w:t xml:space="preserve"> si stima che rappresenterà meno del </w:t>
      </w:r>
      <w:r w:rsidR="00F21069" w:rsidRPr="00FA2850">
        <w:t xml:space="preserve">10% </w:t>
      </w:r>
      <w:r w:rsidR="00691F02">
        <w:t>dei ricavi del settore</w:t>
      </w:r>
      <w:r w:rsidR="00F21069" w:rsidRPr="00FA2850">
        <w:t xml:space="preserve">. </w:t>
      </w:r>
      <w:r w:rsidR="00B302D4">
        <w:t>La domanda di elettronica di consumo è in ripresa, ma è trainata dalle scorte</w:t>
      </w:r>
      <w:r w:rsidR="00F21069" w:rsidRPr="00FA2850">
        <w:t xml:space="preserve">. </w:t>
      </w:r>
      <w:r w:rsidR="00B302D4">
        <w:t>Ciò è dovuto alla rapida riduzione delle scorte dei due anni precedenti</w:t>
      </w:r>
      <w:r w:rsidR="00F21069" w:rsidRPr="00FA2850">
        <w:t xml:space="preserve">, </w:t>
      </w:r>
      <w:r w:rsidR="00B302D4">
        <w:t>che è risultata più ampia rispetto ai cicli antecedenti</w:t>
      </w:r>
      <w:r w:rsidR="00F21069" w:rsidRPr="00FA2850">
        <w:t xml:space="preserve">. </w:t>
      </w:r>
      <w:r w:rsidR="00B302D4">
        <w:t>Tuttavia</w:t>
      </w:r>
      <w:r w:rsidR="00322FC1">
        <w:t>,</w:t>
      </w:r>
      <w:r w:rsidR="00B302D4">
        <w:t xml:space="preserve"> la domanda ‘reale’ dei consumatori resta modesta</w:t>
      </w:r>
      <w:r w:rsidR="00F21069" w:rsidRPr="00FA2850">
        <w:t>.</w:t>
      </w:r>
    </w:p>
    <w:p w14:paraId="6B56ED33" w14:textId="77777777" w:rsidR="00325B5A" w:rsidRPr="00FA2850" w:rsidRDefault="00325B5A" w:rsidP="00325B5A">
      <w:pPr>
        <w:spacing w:after="0" w:line="240" w:lineRule="auto"/>
        <w:contextualSpacing/>
      </w:pPr>
    </w:p>
    <w:p w14:paraId="288FE2F7" w14:textId="00D6A7A1" w:rsidR="00F21069" w:rsidRDefault="00325B5A" w:rsidP="00325B5A">
      <w:pPr>
        <w:spacing w:after="0" w:line="240" w:lineRule="auto"/>
        <w:contextualSpacing/>
      </w:pPr>
      <w:r>
        <w:t>Secondariamente</w:t>
      </w:r>
      <w:r w:rsidR="00F21069" w:rsidRPr="00FA2850">
        <w:t xml:space="preserve">, </w:t>
      </w:r>
      <w:r w:rsidR="00686780" w:rsidRPr="00686780">
        <w:t>la durata e l'entità dei guadagni azionari è già ben al di sopra del</w:t>
      </w:r>
      <w:r w:rsidR="006F3F5F">
        <w:t xml:space="preserve"> guadagno medio</w:t>
      </w:r>
      <w:r w:rsidR="00686780" w:rsidRPr="00686780">
        <w:t xml:space="preserve"> registrat</w:t>
      </w:r>
      <w:r w:rsidR="006F3F5F">
        <w:t>o</w:t>
      </w:r>
      <w:r w:rsidR="00686780" w:rsidRPr="00686780">
        <w:t xml:space="preserve"> in tutti i cicli di rialzo </w:t>
      </w:r>
      <w:r w:rsidR="00686780">
        <w:t>degli ultimi</w:t>
      </w:r>
      <w:r w:rsidR="00F21069" w:rsidRPr="00FA2850">
        <w:t xml:space="preserve"> 20 </w:t>
      </w:r>
      <w:r w:rsidR="00686780">
        <w:t>anni</w:t>
      </w:r>
      <w:r w:rsidR="00F21069" w:rsidRPr="00FA2850">
        <w:t xml:space="preserve">. </w:t>
      </w:r>
      <w:r w:rsidR="00686780">
        <w:t>Normalmente</w:t>
      </w:r>
      <w:r w:rsidR="00C0616B">
        <w:t>,</w:t>
      </w:r>
      <w:r w:rsidR="00686780">
        <w:t xml:space="preserve"> i cicli di rialzo dei semiconduttori durano circa </w:t>
      </w:r>
      <w:r w:rsidR="00F21069" w:rsidRPr="00FA2850">
        <w:t>12</w:t>
      </w:r>
      <w:r w:rsidR="00686780">
        <w:t>,</w:t>
      </w:r>
      <w:r w:rsidR="00F21069" w:rsidRPr="00FA2850">
        <w:t xml:space="preserve">5 </w:t>
      </w:r>
      <w:r w:rsidR="00686780">
        <w:t>mesi</w:t>
      </w:r>
      <w:r w:rsidR="00F21069" w:rsidRPr="00FA2850">
        <w:t xml:space="preserve">, </w:t>
      </w:r>
      <w:r w:rsidR="00686780">
        <w:t xml:space="preserve">con un guadagno azionario medio del </w:t>
      </w:r>
      <w:r w:rsidR="00F21069" w:rsidRPr="00FA2850">
        <w:t xml:space="preserve">75%. </w:t>
      </w:r>
      <w:r w:rsidR="00791F40">
        <w:t xml:space="preserve">I titoli tecnologici hanno </w:t>
      </w:r>
      <w:r w:rsidR="00C0616B">
        <w:t>toccato il minimo</w:t>
      </w:r>
      <w:r w:rsidR="00791F40">
        <w:t xml:space="preserve"> nel terzo trimestre del</w:t>
      </w:r>
      <w:r w:rsidR="00F21069" w:rsidRPr="00FA2850">
        <w:t xml:space="preserve"> 2022, </w:t>
      </w:r>
      <w:r w:rsidR="00C0616B">
        <w:t>e ciò significa</w:t>
      </w:r>
      <w:r w:rsidR="00791F40">
        <w:t xml:space="preserve"> che abbiamo già assistito a </w:t>
      </w:r>
      <w:r w:rsidR="006F3F5F">
        <w:t xml:space="preserve">circa </w:t>
      </w:r>
      <w:r w:rsidR="00F21069" w:rsidRPr="00FA2850">
        <w:t>15 m</w:t>
      </w:r>
      <w:r w:rsidR="00791F40">
        <w:t>esi di guadagni</w:t>
      </w:r>
      <w:r w:rsidR="006F3F5F">
        <w:t>,</w:t>
      </w:r>
      <w:r w:rsidR="00791F40">
        <w:t xml:space="preserve"> che si traducono in un </w:t>
      </w:r>
      <w:r w:rsidR="00791F40" w:rsidRPr="00791F40">
        <w:t>aumento del 124% del</w:t>
      </w:r>
      <w:r w:rsidR="00036187">
        <w:t>la quotazione</w:t>
      </w:r>
      <w:r w:rsidR="00791F40" w:rsidRPr="00791F40">
        <w:t xml:space="preserve"> SOX </w:t>
      </w:r>
      <w:r w:rsidR="00F21069" w:rsidRPr="00FA2850">
        <w:t>(</w:t>
      </w:r>
      <w:r w:rsidR="00036187">
        <w:t>un indice globale composto dalle aziende di semiconduttori</w:t>
      </w:r>
      <w:r w:rsidR="00F21069" w:rsidRPr="00FA2850">
        <w:t xml:space="preserve">) </w:t>
      </w:r>
      <w:r w:rsidR="00036187">
        <w:t xml:space="preserve">rispetto al </w:t>
      </w:r>
      <w:r w:rsidR="00322FC1">
        <w:t>punto di minimo</w:t>
      </w:r>
      <w:r w:rsidR="00F21069" w:rsidRPr="00FA2850">
        <w:t xml:space="preserve">. </w:t>
      </w:r>
      <w:r w:rsidR="00322FC1">
        <w:t>Considerando anche solo questi parametri</w:t>
      </w:r>
      <w:r w:rsidR="00C72A56" w:rsidRPr="00C72A56">
        <w:t>,</w:t>
      </w:r>
      <w:r w:rsidR="00322FC1">
        <w:t xml:space="preserve"> questo</w:t>
      </w:r>
      <w:r w:rsidR="00C72A56" w:rsidRPr="00C72A56">
        <w:t xml:space="preserve"> ciclo sembra </w:t>
      </w:r>
      <w:r w:rsidR="00322FC1">
        <w:t xml:space="preserve">essere </w:t>
      </w:r>
      <w:r w:rsidR="00C72A56" w:rsidRPr="00C72A56">
        <w:t>maturo</w:t>
      </w:r>
      <w:r w:rsidR="00F21069" w:rsidRPr="00FA2850">
        <w:t xml:space="preserve">. </w:t>
      </w:r>
      <w:r w:rsidR="00322FC1">
        <w:t>Infine</w:t>
      </w:r>
      <w:r w:rsidR="005A03B8">
        <w:t xml:space="preserve">, la valutazione del settore </w:t>
      </w:r>
      <w:r w:rsidR="00F21069" w:rsidRPr="00FA2850">
        <w:t xml:space="preserve">IT </w:t>
      </w:r>
      <w:r w:rsidR="00C0616B">
        <w:t xml:space="preserve">dei </w:t>
      </w:r>
      <w:r w:rsidR="00322FC1">
        <w:t xml:space="preserve">mercati emergenti </w:t>
      </w:r>
      <w:r w:rsidR="005A03B8">
        <w:t xml:space="preserve">è </w:t>
      </w:r>
      <w:r w:rsidR="00C0616B">
        <w:t xml:space="preserve">attualmente </w:t>
      </w:r>
      <w:r w:rsidR="005A03B8">
        <w:t>superiore alla media a lungo termine, in ragione di una solida performance</w:t>
      </w:r>
      <w:r w:rsidR="00F21069" w:rsidRPr="00FA2850">
        <w:t xml:space="preserve">. </w:t>
      </w:r>
    </w:p>
    <w:p w14:paraId="2AE38DF5" w14:textId="77777777" w:rsidR="00325B5A" w:rsidRPr="00FA2850" w:rsidRDefault="00325B5A" w:rsidP="00325B5A">
      <w:pPr>
        <w:spacing w:after="0" w:line="240" w:lineRule="auto"/>
        <w:contextualSpacing/>
      </w:pPr>
    </w:p>
    <w:p w14:paraId="0011EB42" w14:textId="23D4ABF5" w:rsidR="00F21069" w:rsidRPr="00FA2850" w:rsidRDefault="002E460D" w:rsidP="00325B5A">
      <w:pPr>
        <w:spacing w:after="0" w:line="240" w:lineRule="auto"/>
        <w:contextualSpacing/>
      </w:pPr>
      <w:r w:rsidRPr="005360CC">
        <w:rPr>
          <w:b/>
          <w:bCs/>
        </w:rPr>
        <w:t>Nel complesso</w:t>
      </w:r>
      <w:r w:rsidR="00614166" w:rsidRPr="005360CC">
        <w:rPr>
          <w:b/>
          <w:bCs/>
        </w:rPr>
        <w:t>,</w:t>
      </w:r>
      <w:r w:rsidRPr="005360CC">
        <w:rPr>
          <w:b/>
          <w:bCs/>
        </w:rPr>
        <w:t xml:space="preserve"> </w:t>
      </w:r>
      <w:r w:rsidR="005360CC" w:rsidRPr="005360CC">
        <w:rPr>
          <w:b/>
          <w:bCs/>
        </w:rPr>
        <w:t>siamo fiduciosi</w:t>
      </w:r>
      <w:r w:rsidRPr="005360CC">
        <w:rPr>
          <w:b/>
          <w:bCs/>
        </w:rPr>
        <w:t xml:space="preserve"> nella capacità di </w:t>
      </w:r>
      <w:r w:rsidR="00F21069" w:rsidRPr="005360CC">
        <w:rPr>
          <w:b/>
          <w:bCs/>
        </w:rPr>
        <w:t xml:space="preserve">Taiwan </w:t>
      </w:r>
      <w:r w:rsidRPr="005360CC">
        <w:rPr>
          <w:b/>
          <w:bCs/>
        </w:rPr>
        <w:t xml:space="preserve">di mantenere la </w:t>
      </w:r>
      <w:r w:rsidR="00F1241F">
        <w:rPr>
          <w:b/>
          <w:bCs/>
        </w:rPr>
        <w:t>propria</w:t>
      </w:r>
      <w:r w:rsidRPr="005360CC">
        <w:rPr>
          <w:b/>
          <w:bCs/>
        </w:rPr>
        <w:t xml:space="preserve"> posizione </w:t>
      </w:r>
      <w:r w:rsidR="00F21069" w:rsidRPr="005360CC">
        <w:rPr>
          <w:b/>
          <w:bCs/>
        </w:rPr>
        <w:t>competitiv</w:t>
      </w:r>
      <w:r w:rsidRPr="005360CC">
        <w:rPr>
          <w:b/>
          <w:bCs/>
        </w:rPr>
        <w:t xml:space="preserve">a nelle catene di </w:t>
      </w:r>
      <w:r w:rsidR="001712F3" w:rsidRPr="005360CC">
        <w:rPr>
          <w:b/>
          <w:bCs/>
        </w:rPr>
        <w:t>approvvigionamento</w:t>
      </w:r>
      <w:r w:rsidRPr="005360CC">
        <w:rPr>
          <w:b/>
          <w:bCs/>
        </w:rPr>
        <w:t xml:space="preserve"> globali</w:t>
      </w:r>
      <w:r w:rsidR="007B295D">
        <w:t>. Infatti</w:t>
      </w:r>
      <w:r w:rsidR="005360CC">
        <w:t xml:space="preserve">, </w:t>
      </w:r>
      <w:r w:rsidR="007B295D">
        <w:t>il solido</w:t>
      </w:r>
      <w:r>
        <w:t xml:space="preserve"> ecosistema che ha costruito in decenni sarebbe difficile da replicare in termini di affidabilità</w:t>
      </w:r>
      <w:r w:rsidR="00F21069" w:rsidRPr="00FA2850">
        <w:t>, competitiv</w:t>
      </w:r>
      <w:r>
        <w:t>ità, fiducia e integrità</w:t>
      </w:r>
      <w:r w:rsidR="00F21069" w:rsidRPr="00FA2850">
        <w:t xml:space="preserve">. </w:t>
      </w:r>
      <w:r w:rsidR="00CC3A80">
        <w:t>Ciò</w:t>
      </w:r>
      <w:r>
        <w:t xml:space="preserve"> vale </w:t>
      </w:r>
      <w:r w:rsidR="001712F3">
        <w:t>soprattutto</w:t>
      </w:r>
      <w:r>
        <w:t xml:space="preserve"> per le catene di fornitura tecno</w:t>
      </w:r>
      <w:r w:rsidR="001323D8">
        <w:t>logiche</w:t>
      </w:r>
      <w:r w:rsidR="00F21069" w:rsidRPr="00FA2850">
        <w:t xml:space="preserve">, </w:t>
      </w:r>
      <w:r w:rsidR="00CC3A80">
        <w:t>nell’ambito delle quali</w:t>
      </w:r>
      <w:r w:rsidR="001323D8">
        <w:t xml:space="preserve"> le aziende di </w:t>
      </w:r>
      <w:r w:rsidR="00F21069" w:rsidRPr="00FA2850">
        <w:t xml:space="preserve">Taiwan </w:t>
      </w:r>
      <w:r w:rsidR="005360CC">
        <w:t>si sono</w:t>
      </w:r>
      <w:r w:rsidR="005360CC" w:rsidRPr="00FA2850">
        <w:t xml:space="preserve"> </w:t>
      </w:r>
      <w:r w:rsidR="00F21069" w:rsidRPr="00FA2850">
        <w:t>creat</w:t>
      </w:r>
      <w:r w:rsidR="005360CC">
        <w:t xml:space="preserve">e </w:t>
      </w:r>
      <w:r w:rsidR="001323D8">
        <w:t>un vantaggio significativo e duraturo</w:t>
      </w:r>
      <w:r w:rsidR="00F21069" w:rsidRPr="00FA2850">
        <w:t xml:space="preserve">. </w:t>
      </w:r>
      <w:r w:rsidR="001323D8">
        <w:t>Ciononostante</w:t>
      </w:r>
      <w:r w:rsidR="00F21069" w:rsidRPr="00FA2850">
        <w:t xml:space="preserve">, </w:t>
      </w:r>
      <w:r w:rsidR="001323D8">
        <w:t>la</w:t>
      </w:r>
      <w:r w:rsidR="00F21069" w:rsidRPr="00FA2850">
        <w:t xml:space="preserve"> performance </w:t>
      </w:r>
      <w:r w:rsidR="001323D8">
        <w:t>dei titoli azionari associati appare estesa nel breve termine</w:t>
      </w:r>
      <w:r w:rsidR="00F21069" w:rsidRPr="00FA2850">
        <w:t>.</w:t>
      </w:r>
    </w:p>
    <w:p w14:paraId="135D00C0" w14:textId="44655F50" w:rsidR="00F21069" w:rsidRPr="00FA2850" w:rsidRDefault="00F21069" w:rsidP="00325B5A">
      <w:pPr>
        <w:spacing w:after="0" w:line="240" w:lineRule="auto"/>
        <w:contextualSpacing/>
        <w:rPr>
          <w:b/>
          <w:bCs/>
        </w:rPr>
      </w:pPr>
    </w:p>
    <w:sectPr w:rsidR="00F21069" w:rsidRPr="00FA2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83F60"/>
    <w:multiLevelType w:val="hybridMultilevel"/>
    <w:tmpl w:val="C7FA8024"/>
    <w:lvl w:ilvl="0" w:tplc="8CF643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391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69"/>
    <w:rsid w:val="00036187"/>
    <w:rsid w:val="000B7485"/>
    <w:rsid w:val="00112908"/>
    <w:rsid w:val="001323D8"/>
    <w:rsid w:val="001712F3"/>
    <w:rsid w:val="00197EE4"/>
    <w:rsid w:val="001E55C5"/>
    <w:rsid w:val="00221D47"/>
    <w:rsid w:val="00254E20"/>
    <w:rsid w:val="00263C9B"/>
    <w:rsid w:val="002E460D"/>
    <w:rsid w:val="00322FC1"/>
    <w:rsid w:val="00325B5A"/>
    <w:rsid w:val="00364119"/>
    <w:rsid w:val="003A4FE3"/>
    <w:rsid w:val="003A580D"/>
    <w:rsid w:val="003D6DB0"/>
    <w:rsid w:val="0044443E"/>
    <w:rsid w:val="004A4FC1"/>
    <w:rsid w:val="004E28CD"/>
    <w:rsid w:val="005360CC"/>
    <w:rsid w:val="00555A40"/>
    <w:rsid w:val="005A03B8"/>
    <w:rsid w:val="005A5EEA"/>
    <w:rsid w:val="005B0BFC"/>
    <w:rsid w:val="005D0F80"/>
    <w:rsid w:val="005D5F6A"/>
    <w:rsid w:val="005D7308"/>
    <w:rsid w:val="005F0569"/>
    <w:rsid w:val="00602E9E"/>
    <w:rsid w:val="00614166"/>
    <w:rsid w:val="006374DD"/>
    <w:rsid w:val="0064250B"/>
    <w:rsid w:val="00686780"/>
    <w:rsid w:val="00691F02"/>
    <w:rsid w:val="006C034E"/>
    <w:rsid w:val="006F3F5F"/>
    <w:rsid w:val="007463B6"/>
    <w:rsid w:val="0076124F"/>
    <w:rsid w:val="00791F40"/>
    <w:rsid w:val="0079412C"/>
    <w:rsid w:val="00795617"/>
    <w:rsid w:val="007A0C41"/>
    <w:rsid w:val="007B2211"/>
    <w:rsid w:val="007B295D"/>
    <w:rsid w:val="007F0E4F"/>
    <w:rsid w:val="007F33EC"/>
    <w:rsid w:val="008A5FA7"/>
    <w:rsid w:val="00903A1D"/>
    <w:rsid w:val="009175FA"/>
    <w:rsid w:val="00933C54"/>
    <w:rsid w:val="009D1F34"/>
    <w:rsid w:val="009D308B"/>
    <w:rsid w:val="00A00A11"/>
    <w:rsid w:val="00A024E9"/>
    <w:rsid w:val="00A053AB"/>
    <w:rsid w:val="00A76219"/>
    <w:rsid w:val="00AA633A"/>
    <w:rsid w:val="00AE1628"/>
    <w:rsid w:val="00AE7A35"/>
    <w:rsid w:val="00AF72F2"/>
    <w:rsid w:val="00B06120"/>
    <w:rsid w:val="00B126D1"/>
    <w:rsid w:val="00B302D4"/>
    <w:rsid w:val="00B51436"/>
    <w:rsid w:val="00BB59A1"/>
    <w:rsid w:val="00BE3AC1"/>
    <w:rsid w:val="00C002C8"/>
    <w:rsid w:val="00C0616B"/>
    <w:rsid w:val="00C72A56"/>
    <w:rsid w:val="00CA5101"/>
    <w:rsid w:val="00CC3A80"/>
    <w:rsid w:val="00D02ABC"/>
    <w:rsid w:val="00D06757"/>
    <w:rsid w:val="00D17B83"/>
    <w:rsid w:val="00D20D00"/>
    <w:rsid w:val="00D229A0"/>
    <w:rsid w:val="00D3094A"/>
    <w:rsid w:val="00D42BE7"/>
    <w:rsid w:val="00D51F17"/>
    <w:rsid w:val="00D76184"/>
    <w:rsid w:val="00DB2D25"/>
    <w:rsid w:val="00DC41F5"/>
    <w:rsid w:val="00DD2605"/>
    <w:rsid w:val="00E44F25"/>
    <w:rsid w:val="00E72FF7"/>
    <w:rsid w:val="00E77474"/>
    <w:rsid w:val="00E81195"/>
    <w:rsid w:val="00E92F1B"/>
    <w:rsid w:val="00E950DB"/>
    <w:rsid w:val="00EB1D81"/>
    <w:rsid w:val="00EE0ED3"/>
    <w:rsid w:val="00EF05BC"/>
    <w:rsid w:val="00F02704"/>
    <w:rsid w:val="00F1241F"/>
    <w:rsid w:val="00F21069"/>
    <w:rsid w:val="00F56E05"/>
    <w:rsid w:val="00F827C9"/>
    <w:rsid w:val="00FA2850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9416"/>
  <w15:chartTrackingRefBased/>
  <w15:docId w15:val="{225BCA50-8CAC-47FB-831D-44372E9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B1D8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zonta</dc:creator>
  <cp:keywords/>
  <dc:description/>
  <cp:lastModifiedBy>Diana Ferla</cp:lastModifiedBy>
  <cp:revision>20</cp:revision>
  <dcterms:created xsi:type="dcterms:W3CDTF">2024-04-05T12:39:00Z</dcterms:created>
  <dcterms:modified xsi:type="dcterms:W3CDTF">2024-04-17T08:04:00Z</dcterms:modified>
</cp:coreProperties>
</file>