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A5ED3" w14:textId="7317EDD6" w:rsidR="00F93502" w:rsidRPr="00F93502" w:rsidRDefault="00F93502" w:rsidP="00F93502">
      <w:pPr>
        <w:spacing w:line="276" w:lineRule="auto"/>
        <w:ind w:left="-567" w:right="-42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93502">
        <w:rPr>
          <w:rFonts w:asciiTheme="minorHAnsi" w:hAnsiTheme="minorHAnsi" w:cstheme="minorHAnsi"/>
          <w:b/>
          <w:bCs/>
          <w:sz w:val="28"/>
          <w:szCs w:val="28"/>
        </w:rPr>
        <w:t>Giornata Mondiale dell’Acqua 2024: firmato su iniziativa del CREA position paper “Acqua per la pace”</w:t>
      </w:r>
    </w:p>
    <w:p w14:paraId="70848BE8" w14:textId="77777777" w:rsidR="00F93502" w:rsidRPr="00F93502" w:rsidRDefault="00F93502" w:rsidP="00F93502">
      <w:pPr>
        <w:spacing w:line="276" w:lineRule="auto"/>
        <w:ind w:left="-567" w:right="-42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F83985" w14:textId="5B472DDA" w:rsidR="00F93502" w:rsidRPr="00F93502" w:rsidRDefault="00F93502" w:rsidP="00F93502">
      <w:pPr>
        <w:spacing w:line="276" w:lineRule="auto"/>
        <w:ind w:left="-567" w:right="-427"/>
        <w:jc w:val="center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F93502">
        <w:rPr>
          <w:rFonts w:asciiTheme="minorHAnsi" w:hAnsiTheme="minorHAnsi" w:cstheme="minorHAnsi"/>
          <w:b/>
          <w:bCs/>
          <w:i/>
          <w:iCs/>
        </w:rPr>
        <w:t>Idrodiplomazia</w:t>
      </w:r>
      <w:proofErr w:type="spellEnd"/>
      <w:r w:rsidRPr="00F93502">
        <w:rPr>
          <w:rFonts w:asciiTheme="minorHAnsi" w:hAnsiTheme="minorHAnsi" w:cstheme="minorHAnsi"/>
          <w:b/>
          <w:bCs/>
          <w:i/>
          <w:iCs/>
        </w:rPr>
        <w:t xml:space="preserve"> e piano acqua integrato per tutelare agricoltura, cibo</w:t>
      </w:r>
      <w:r w:rsidR="00944414">
        <w:rPr>
          <w:rFonts w:asciiTheme="minorHAnsi" w:hAnsiTheme="minorHAnsi" w:cstheme="minorHAnsi"/>
          <w:b/>
          <w:bCs/>
          <w:i/>
          <w:iCs/>
        </w:rPr>
        <w:t xml:space="preserve">, </w:t>
      </w:r>
      <w:r w:rsidRPr="00F93502">
        <w:rPr>
          <w:rFonts w:asciiTheme="minorHAnsi" w:hAnsiTheme="minorHAnsi" w:cstheme="minorHAnsi"/>
          <w:b/>
          <w:bCs/>
          <w:i/>
          <w:iCs/>
        </w:rPr>
        <w:t>paesaggio e promuovere sviluppo sostenibile</w:t>
      </w:r>
    </w:p>
    <w:p w14:paraId="7C88D183" w14:textId="77777777" w:rsidR="00F93502" w:rsidRPr="00F93502" w:rsidRDefault="00F93502" w:rsidP="003717E6">
      <w:pPr>
        <w:spacing w:line="276" w:lineRule="auto"/>
        <w:ind w:right="-427"/>
        <w:rPr>
          <w:rFonts w:asciiTheme="minorHAnsi" w:hAnsiTheme="minorHAnsi" w:cstheme="minorHAnsi"/>
          <w:sz w:val="22"/>
          <w:szCs w:val="22"/>
        </w:rPr>
      </w:pPr>
    </w:p>
    <w:p w14:paraId="27DA95FD" w14:textId="7777777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Buone pratiche irrigue sono essenziali per la sicurezza e la sovranità alimentare a livello nazionale e internazionale e devono essere un capitale di conoscenza messo a fattore comune per promuovere lo sviluppo sostenibile e la pace. Non è un caso infatti se, dall’anno 2000 a oggi, l’acqua è stata al centro di circa 1050 conflitti, verificatisi in gran parte in Africa e Asia (Fonte: Pacific Institute ). D’altronde i numeri parlano chiaro: si stima che nel 2050 la domanda di acqua globale supererà del 40% l’offerta, mettendo a rischio il 45% del PIL globale prodotto dall’agricoltura, il 52% della popolazione e il 40% della produzione di grano mondiale.</w:t>
      </w:r>
    </w:p>
    <w:p w14:paraId="56BA1EA2" w14:textId="1E869AC3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Su queste basi, è stato firmato oggi il position</w:t>
      </w:r>
      <w:r w:rsidR="00316808">
        <w:rPr>
          <w:rFonts w:asciiTheme="minorHAnsi" w:hAnsiTheme="minorHAnsi" w:cstheme="minorHAnsi"/>
          <w:sz w:val="22"/>
          <w:szCs w:val="22"/>
        </w:rPr>
        <w:t xml:space="preserve"> </w:t>
      </w:r>
      <w:r w:rsidRPr="00F93502">
        <w:rPr>
          <w:rFonts w:asciiTheme="minorHAnsi" w:hAnsiTheme="minorHAnsi" w:cstheme="minorHAnsi"/>
          <w:sz w:val="22"/>
          <w:szCs w:val="22"/>
        </w:rPr>
        <w:t>paper alla fine di “</w:t>
      </w:r>
      <w:r w:rsidRPr="00F935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Acqua per la pace:</w:t>
      </w:r>
      <w:r w:rsidRPr="00F935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35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buone pratiche irrigue per la sicurezza e sovranità alimentare a livello nazionale e internazionale</w:t>
      </w:r>
      <w:r w:rsidRPr="00F93502">
        <w:rPr>
          <w:rFonts w:asciiTheme="minorHAnsi" w:hAnsiTheme="minorHAnsi" w:cstheme="minorHAnsi"/>
          <w:sz w:val="22"/>
          <w:szCs w:val="22"/>
        </w:rPr>
        <w:t xml:space="preserve">”, il convegno organizzato dal </w:t>
      </w:r>
      <w:r w:rsidRPr="00F93502">
        <w:rPr>
          <w:rFonts w:asciiTheme="minorHAnsi" w:hAnsiTheme="minorHAnsi" w:cstheme="minorHAnsi"/>
          <w:b/>
          <w:bCs/>
          <w:sz w:val="22"/>
          <w:szCs w:val="22"/>
        </w:rPr>
        <w:t>CREA Politiche e Bioeconomia</w:t>
      </w:r>
      <w:r w:rsidRPr="00F93502">
        <w:rPr>
          <w:rFonts w:asciiTheme="minorHAnsi" w:hAnsiTheme="minorHAnsi" w:cstheme="minorHAnsi"/>
          <w:sz w:val="22"/>
          <w:szCs w:val="22"/>
        </w:rPr>
        <w:t xml:space="preserve"> in collaborazione con la Fondazione </w:t>
      </w:r>
      <w:proofErr w:type="spellStart"/>
      <w:r w:rsidRPr="00F93502">
        <w:rPr>
          <w:rFonts w:asciiTheme="minorHAnsi" w:hAnsiTheme="minorHAnsi" w:cstheme="minorHAnsi"/>
          <w:sz w:val="22"/>
          <w:szCs w:val="22"/>
        </w:rPr>
        <w:t>Ewa</w:t>
      </w:r>
      <w:proofErr w:type="spellEnd"/>
      <w:r w:rsidRPr="00F93502">
        <w:rPr>
          <w:rFonts w:asciiTheme="minorHAnsi" w:hAnsiTheme="minorHAnsi" w:cstheme="minorHAnsi"/>
          <w:sz w:val="22"/>
          <w:szCs w:val="22"/>
        </w:rPr>
        <w:t>, Earth and Water Agenda, per celebrare la Giornata Mondiale dell’Acqua</w:t>
      </w:r>
      <w:r w:rsidR="00426961">
        <w:rPr>
          <w:rFonts w:asciiTheme="minorHAnsi" w:hAnsiTheme="minorHAnsi" w:cstheme="minorHAnsi"/>
          <w:sz w:val="22"/>
          <w:szCs w:val="22"/>
        </w:rPr>
        <w:t xml:space="preserve"> </w:t>
      </w:r>
      <w:r w:rsidRPr="00F93502">
        <w:rPr>
          <w:rFonts w:asciiTheme="minorHAnsi" w:hAnsiTheme="minorHAnsi" w:cstheme="minorHAnsi"/>
          <w:sz w:val="22"/>
          <w:szCs w:val="22"/>
        </w:rPr>
        <w:t>che, quest’anno appunto all’insegna di “Acqua per la pace” (questo il tema scelto dalle Nazioni Unite quest’anno)</w:t>
      </w:r>
      <w:r w:rsidR="00BC668E">
        <w:rPr>
          <w:rFonts w:asciiTheme="minorHAnsi" w:hAnsiTheme="minorHAnsi" w:cstheme="minorHAnsi"/>
          <w:sz w:val="22"/>
          <w:szCs w:val="22"/>
        </w:rPr>
        <w:t>.</w:t>
      </w:r>
    </w:p>
    <w:p w14:paraId="3D361AEC" w14:textId="7777777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Il documento contiene la visione, la competenza e l’esperienza delle istituzioni coinvolte nell'evento e le loro raccomandazioni future (a partire dall’Italia), utili a stimolare la capacità di cooperazione e di governance.</w:t>
      </w:r>
    </w:p>
    <w:p w14:paraId="5FB3A30E" w14:textId="7777777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I temi affrontati vanno dalla disponibilità della risorsa idrica, a garanzia della sicurezza e sovranità alimentare, fino alla riduzione e gestione del rischio, alla definizione di un piano Acqua per l’Italia e alla creazione di una “</w:t>
      </w:r>
      <w:proofErr w:type="spellStart"/>
      <w:r w:rsidRPr="00F93502">
        <w:rPr>
          <w:rFonts w:asciiTheme="minorHAnsi" w:hAnsiTheme="minorHAnsi" w:cstheme="minorHAnsi"/>
          <w:sz w:val="22"/>
          <w:szCs w:val="22"/>
        </w:rPr>
        <w:t>idrodiplomazia</w:t>
      </w:r>
      <w:proofErr w:type="spellEnd"/>
      <w:r w:rsidRPr="00F93502">
        <w:rPr>
          <w:rFonts w:asciiTheme="minorHAnsi" w:hAnsiTheme="minorHAnsi" w:cstheme="minorHAnsi"/>
          <w:sz w:val="22"/>
          <w:szCs w:val="22"/>
        </w:rPr>
        <w:t>”.</w:t>
      </w:r>
    </w:p>
    <w:p w14:paraId="09832954" w14:textId="7777777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b/>
          <w:bCs/>
          <w:sz w:val="22"/>
          <w:szCs w:val="22"/>
        </w:rPr>
        <w:t>Piano Acqua</w:t>
      </w:r>
      <w:r w:rsidRPr="00F93502">
        <w:rPr>
          <w:rFonts w:asciiTheme="minorHAnsi" w:hAnsiTheme="minorHAnsi" w:cstheme="minorHAnsi"/>
          <w:sz w:val="22"/>
          <w:szCs w:val="22"/>
        </w:rPr>
        <w:t>: un’azione sinergica tra soggetti istituzionali che converge in un documento di linee di politica comune</w:t>
      </w:r>
    </w:p>
    <w:p w14:paraId="07D53BCF" w14:textId="7777777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93502">
        <w:rPr>
          <w:rFonts w:asciiTheme="minorHAnsi" w:hAnsiTheme="minorHAnsi" w:cstheme="minorHAnsi"/>
          <w:b/>
          <w:bCs/>
          <w:sz w:val="22"/>
          <w:szCs w:val="22"/>
        </w:rPr>
        <w:t>Idrodiplomazia</w:t>
      </w:r>
      <w:proofErr w:type="spellEnd"/>
      <w:r w:rsidRPr="00F93502">
        <w:rPr>
          <w:rFonts w:asciiTheme="minorHAnsi" w:hAnsiTheme="minorHAnsi" w:cstheme="minorHAnsi"/>
          <w:sz w:val="22"/>
          <w:szCs w:val="22"/>
        </w:rPr>
        <w:t>: un confronto continuo e costante tra soggetti nazionali ed esteri sul tema acqua e risorse idriche.</w:t>
      </w:r>
    </w:p>
    <w:p w14:paraId="734BA5C1" w14:textId="77777777" w:rsidR="00575531" w:rsidRDefault="00575531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6421D5" w14:textId="56C233D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3502">
        <w:rPr>
          <w:rFonts w:asciiTheme="minorHAnsi" w:hAnsiTheme="minorHAnsi" w:cstheme="minorHAnsi"/>
          <w:b/>
          <w:bCs/>
          <w:sz w:val="22"/>
          <w:szCs w:val="22"/>
        </w:rPr>
        <w:t>Il caso Italia</w:t>
      </w:r>
    </w:p>
    <w:p w14:paraId="0E72B39C" w14:textId="7777777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In un Paese caratterizzato dal 21% della superficie coltivata irrigata, in cui circa la metà delle aziende agricole italiane pratica l’irrigazione e che vanta 955 produzioni di qualità certificate, puntare sulla gestione sostenibile delle risorse irrigue con l’obiettivo di difendere la sovranità alimentare italiana, sia in termini di riduzione degli sprechi e salvaguardia delle produzioni tradizionali sia per il mantenimento dei modelli di consumo diventa fondamentale.</w:t>
      </w:r>
    </w:p>
    <w:p w14:paraId="6161293B" w14:textId="7777777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A fronte di ciò, è necessario raggiungere una visione integrata dell’acqua che vede al centro i seguenti elementi principali:</w:t>
      </w:r>
    </w:p>
    <w:p w14:paraId="6777BA29" w14:textId="77777777" w:rsidR="00F93502" w:rsidRPr="00F93502" w:rsidRDefault="00F93502" w:rsidP="00575531">
      <w:pPr>
        <w:numPr>
          <w:ilvl w:val="0"/>
          <w:numId w:val="19"/>
        </w:numPr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Produzione agricola;</w:t>
      </w:r>
    </w:p>
    <w:p w14:paraId="772DAF27" w14:textId="77777777" w:rsidR="00F93502" w:rsidRPr="00F93502" w:rsidRDefault="00F93502" w:rsidP="00575531">
      <w:pPr>
        <w:numPr>
          <w:ilvl w:val="0"/>
          <w:numId w:val="19"/>
        </w:numPr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Cibo;</w:t>
      </w:r>
    </w:p>
    <w:p w14:paraId="2EA55977" w14:textId="77777777" w:rsidR="00F93502" w:rsidRPr="00F93502" w:rsidRDefault="00F93502" w:rsidP="00575531">
      <w:pPr>
        <w:numPr>
          <w:ilvl w:val="0"/>
          <w:numId w:val="19"/>
        </w:numPr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Tutela del paesaggio e della biodiversità.</w:t>
      </w:r>
    </w:p>
    <w:p w14:paraId="1865EC18" w14:textId="7777777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lastRenderedPageBreak/>
        <w:t xml:space="preserve">Per il mantenimento di questo quadro è necessaria: l’integrazione delle diverse politiche, in particolare ambientali e agricole, lo scambio delle conoscenze e la diffusione delle innovazioni, un consolidamento delle infrastrutture idriche esistenti e la creazione di nuove infrastrutture di accumulo. </w:t>
      </w:r>
    </w:p>
    <w:p w14:paraId="191F2199" w14:textId="77777777" w:rsidR="00F93502" w:rsidRPr="00F93502" w:rsidRDefault="00F93502" w:rsidP="00575531">
      <w:pPr>
        <w:spacing w:line="276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F93502">
        <w:rPr>
          <w:rFonts w:asciiTheme="minorHAnsi" w:hAnsiTheme="minorHAnsi" w:cstheme="minorHAnsi"/>
          <w:sz w:val="22"/>
          <w:szCs w:val="22"/>
        </w:rPr>
        <w:t>Allo stesso modo, dal punto di vista agricolo è necessario puntare alla razionalizzazione dell’utilizzo della risorsa tramite il miglioramento genetico delle colture, l’aumento delle tecniche di digitalizzazione e di irrigazione di precisione e con il ricorso al consiglio irriguo e di fertilizzazione.</w:t>
      </w:r>
    </w:p>
    <w:p w14:paraId="69421CC0" w14:textId="77777777" w:rsidR="001759ED" w:rsidRDefault="00ED38FA" w:rsidP="001759ED">
      <w:pPr>
        <w:spacing w:line="276" w:lineRule="auto"/>
        <w:ind w:left="-567" w:right="-427"/>
        <w:rPr>
          <w:rFonts w:asciiTheme="minorHAnsi" w:hAnsiTheme="minorHAnsi" w:cstheme="minorHAnsi"/>
          <w:sz w:val="22"/>
          <w:szCs w:val="22"/>
        </w:rPr>
      </w:pPr>
      <w:r w:rsidRPr="00ED38FA">
        <w:rPr>
          <w:rFonts w:asciiTheme="minorHAnsi" w:hAnsiTheme="minorHAnsi" w:cstheme="minorHAnsi"/>
          <w:sz w:val="22"/>
          <w:szCs w:val="22"/>
        </w:rPr>
        <w:t>Emerge, quindi, con chiarezza che il connubio acqua/produttività agroalimentare è inscindibile ma richiede obiettivi di utilizzo che puntino alla riduzione dei prelievi e delle perdite di acqua per salvaguardare la sostenibilità delle nostre colture tradizionali.</w:t>
      </w:r>
    </w:p>
    <w:p w14:paraId="58B31F3B" w14:textId="77777777" w:rsidR="001759ED" w:rsidRDefault="001759ED" w:rsidP="001759ED">
      <w:pPr>
        <w:spacing w:line="276" w:lineRule="auto"/>
        <w:ind w:left="-567" w:right="-427"/>
        <w:rPr>
          <w:rFonts w:asciiTheme="minorHAnsi" w:hAnsiTheme="minorHAnsi" w:cstheme="minorHAnsi"/>
          <w:sz w:val="22"/>
          <w:szCs w:val="22"/>
        </w:rPr>
      </w:pPr>
    </w:p>
    <w:p w14:paraId="30C6EE96" w14:textId="11613175" w:rsidR="008A4F6E" w:rsidRPr="001759ED" w:rsidRDefault="0033077E" w:rsidP="001759ED">
      <w:pPr>
        <w:spacing w:line="276" w:lineRule="auto"/>
        <w:ind w:left="-567" w:right="-42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sectPr w:rsidR="008A4F6E" w:rsidRPr="001759ED" w:rsidSect="007038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ECA23" w14:textId="77777777" w:rsidR="007038DD" w:rsidRDefault="007038DD">
      <w:r>
        <w:separator/>
      </w:r>
    </w:p>
  </w:endnote>
  <w:endnote w:type="continuationSeparator" w:id="0">
    <w:p w14:paraId="7C5A344F" w14:textId="77777777" w:rsidR="007038DD" w:rsidRDefault="007038DD">
      <w:r>
        <w:continuationSeparator/>
      </w:r>
    </w:p>
  </w:endnote>
  <w:endnote w:type="continuationNotice" w:id="1">
    <w:p w14:paraId="275BADCC" w14:textId="77777777" w:rsidR="007038DD" w:rsidRDefault="00703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648BB86C" w:rsidR="00DA5F11" w:rsidRPr="008E200E" w:rsidRDefault="001D67DC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DA5F11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</w:t>
          </w:r>
          <w:proofErr w:type="spellStart"/>
          <w:r w:rsidR="00DA5F11"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C01809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11B320BF" w:rsidR="005B7FAF" w:rsidRPr="008E200E" w:rsidRDefault="001D67DC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5B7FAF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</w:t>
          </w:r>
          <w:proofErr w:type="spellStart"/>
          <w:r w:rsidR="005B7FAF"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A6FCA" w14:textId="77777777" w:rsidR="007038DD" w:rsidRDefault="007038DD">
      <w:r>
        <w:separator/>
      </w:r>
    </w:p>
  </w:footnote>
  <w:footnote w:type="continuationSeparator" w:id="0">
    <w:p w14:paraId="28EA4F2D" w14:textId="77777777" w:rsidR="007038DD" w:rsidRDefault="007038DD">
      <w:r>
        <w:continuationSeparator/>
      </w:r>
    </w:p>
  </w:footnote>
  <w:footnote w:type="continuationNotice" w:id="1">
    <w:p w14:paraId="62FCB0EC" w14:textId="77777777" w:rsidR="007038DD" w:rsidRDefault="00703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BC" w14:textId="78863C71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6308220D" w:rsidR="00ED7ACC" w:rsidRDefault="00904B55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03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1B50F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C" w14:textId="377C376F" w:rsidR="00ED7ACC" w:rsidRPr="00ED7ACC" w:rsidRDefault="001B50F5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22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6308220D" w:rsidR="00ED7ACC" w:rsidRDefault="00904B55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03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1B50F5"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C" w14:textId="377C376F" w:rsidR="00ED7ACC" w:rsidRPr="00ED7ACC" w:rsidRDefault="001B50F5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22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904B55">
      <w:t>03</w: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1B084D"/>
    <w:multiLevelType w:val="hybridMultilevel"/>
    <w:tmpl w:val="638A0ACA"/>
    <w:lvl w:ilvl="0" w:tplc="67800ADE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="Apto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6"/>
  </w:num>
  <w:num w:numId="2" w16cid:durableId="1989698987">
    <w:abstractNumId w:val="14"/>
  </w:num>
  <w:num w:numId="3" w16cid:durableId="1594049955">
    <w:abstractNumId w:val="7"/>
  </w:num>
  <w:num w:numId="4" w16cid:durableId="1186866396">
    <w:abstractNumId w:val="5"/>
  </w:num>
  <w:num w:numId="5" w16cid:durableId="114717376">
    <w:abstractNumId w:val="3"/>
  </w:num>
  <w:num w:numId="6" w16cid:durableId="1905409089">
    <w:abstractNumId w:val="11"/>
  </w:num>
  <w:num w:numId="7" w16cid:durableId="270941046">
    <w:abstractNumId w:val="15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10"/>
  </w:num>
  <w:num w:numId="11" w16cid:durableId="354043385">
    <w:abstractNumId w:val="2"/>
  </w:num>
  <w:num w:numId="12" w16cid:durableId="1192454570">
    <w:abstractNumId w:val="8"/>
  </w:num>
  <w:num w:numId="13" w16cid:durableId="2079941621">
    <w:abstractNumId w:val="8"/>
  </w:num>
  <w:num w:numId="14" w16cid:durableId="1692998751">
    <w:abstractNumId w:val="12"/>
  </w:num>
  <w:num w:numId="15" w16cid:durableId="831069885">
    <w:abstractNumId w:val="9"/>
  </w:num>
  <w:num w:numId="16" w16cid:durableId="1338919007">
    <w:abstractNumId w:val="13"/>
  </w:num>
  <w:num w:numId="17" w16cid:durableId="1020080882">
    <w:abstractNumId w:val="16"/>
  </w:num>
  <w:num w:numId="18" w16cid:durableId="1641694393">
    <w:abstractNumId w:val="4"/>
  </w:num>
  <w:num w:numId="19" w16cid:durableId="1292905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06C50"/>
    <w:rsid w:val="000101D0"/>
    <w:rsid w:val="00012FC9"/>
    <w:rsid w:val="00020017"/>
    <w:rsid w:val="000210DB"/>
    <w:rsid w:val="0002373A"/>
    <w:rsid w:val="00023E8E"/>
    <w:rsid w:val="000242FC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45D"/>
    <w:rsid w:val="00050A88"/>
    <w:rsid w:val="00050D35"/>
    <w:rsid w:val="00052840"/>
    <w:rsid w:val="00052F28"/>
    <w:rsid w:val="00054A50"/>
    <w:rsid w:val="000557A8"/>
    <w:rsid w:val="0005586E"/>
    <w:rsid w:val="000574C1"/>
    <w:rsid w:val="000602AD"/>
    <w:rsid w:val="00060EA7"/>
    <w:rsid w:val="0006184E"/>
    <w:rsid w:val="000634C2"/>
    <w:rsid w:val="0006423E"/>
    <w:rsid w:val="000649B0"/>
    <w:rsid w:val="000710E7"/>
    <w:rsid w:val="00071A1F"/>
    <w:rsid w:val="0007344E"/>
    <w:rsid w:val="00074E3C"/>
    <w:rsid w:val="000814B7"/>
    <w:rsid w:val="000832CE"/>
    <w:rsid w:val="00087257"/>
    <w:rsid w:val="00093C9D"/>
    <w:rsid w:val="00093CA3"/>
    <w:rsid w:val="00093FC9"/>
    <w:rsid w:val="000A18DC"/>
    <w:rsid w:val="000A5EDD"/>
    <w:rsid w:val="000B411E"/>
    <w:rsid w:val="000B4A80"/>
    <w:rsid w:val="000B50C2"/>
    <w:rsid w:val="000B5605"/>
    <w:rsid w:val="000C1AD3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17802"/>
    <w:rsid w:val="00121036"/>
    <w:rsid w:val="0012190D"/>
    <w:rsid w:val="001221D3"/>
    <w:rsid w:val="00122D9D"/>
    <w:rsid w:val="001231F9"/>
    <w:rsid w:val="0012578D"/>
    <w:rsid w:val="00137797"/>
    <w:rsid w:val="00145F30"/>
    <w:rsid w:val="00151137"/>
    <w:rsid w:val="00163153"/>
    <w:rsid w:val="0016659D"/>
    <w:rsid w:val="001748D2"/>
    <w:rsid w:val="001759ED"/>
    <w:rsid w:val="0018029B"/>
    <w:rsid w:val="001830FF"/>
    <w:rsid w:val="001836AC"/>
    <w:rsid w:val="00184E18"/>
    <w:rsid w:val="00184FC9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50F5"/>
    <w:rsid w:val="001B74D8"/>
    <w:rsid w:val="001C457A"/>
    <w:rsid w:val="001C4D51"/>
    <w:rsid w:val="001C5FED"/>
    <w:rsid w:val="001C6F61"/>
    <w:rsid w:val="001C74FF"/>
    <w:rsid w:val="001D00B2"/>
    <w:rsid w:val="001D67DC"/>
    <w:rsid w:val="001E400B"/>
    <w:rsid w:val="001E747B"/>
    <w:rsid w:val="001F10EE"/>
    <w:rsid w:val="001F1246"/>
    <w:rsid w:val="001F3257"/>
    <w:rsid w:val="001F5910"/>
    <w:rsid w:val="001F7165"/>
    <w:rsid w:val="0020044B"/>
    <w:rsid w:val="002014CB"/>
    <w:rsid w:val="002014F7"/>
    <w:rsid w:val="00201EAC"/>
    <w:rsid w:val="00202103"/>
    <w:rsid w:val="00202D2C"/>
    <w:rsid w:val="00205E94"/>
    <w:rsid w:val="00206D7E"/>
    <w:rsid w:val="002070E3"/>
    <w:rsid w:val="002107E1"/>
    <w:rsid w:val="00211BEE"/>
    <w:rsid w:val="0021406E"/>
    <w:rsid w:val="0021499A"/>
    <w:rsid w:val="0021647D"/>
    <w:rsid w:val="002225F7"/>
    <w:rsid w:val="00226FEC"/>
    <w:rsid w:val="0023215F"/>
    <w:rsid w:val="002326ED"/>
    <w:rsid w:val="00235D23"/>
    <w:rsid w:val="00237783"/>
    <w:rsid w:val="0024251E"/>
    <w:rsid w:val="00246210"/>
    <w:rsid w:val="00246C89"/>
    <w:rsid w:val="0024791D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75C3"/>
    <w:rsid w:val="002848A6"/>
    <w:rsid w:val="00287086"/>
    <w:rsid w:val="002873A0"/>
    <w:rsid w:val="00287FEF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6CFB"/>
    <w:rsid w:val="002F7B4A"/>
    <w:rsid w:val="00300FD0"/>
    <w:rsid w:val="00301FA8"/>
    <w:rsid w:val="00303649"/>
    <w:rsid w:val="00307D0A"/>
    <w:rsid w:val="00314BEF"/>
    <w:rsid w:val="00315407"/>
    <w:rsid w:val="00315793"/>
    <w:rsid w:val="00315B7F"/>
    <w:rsid w:val="0031625E"/>
    <w:rsid w:val="00316808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36FBA"/>
    <w:rsid w:val="00337FB3"/>
    <w:rsid w:val="00341774"/>
    <w:rsid w:val="00344C86"/>
    <w:rsid w:val="00351AB4"/>
    <w:rsid w:val="003541ED"/>
    <w:rsid w:val="003554DB"/>
    <w:rsid w:val="00360188"/>
    <w:rsid w:val="003610D3"/>
    <w:rsid w:val="0036315B"/>
    <w:rsid w:val="003663C9"/>
    <w:rsid w:val="0037075D"/>
    <w:rsid w:val="003717E6"/>
    <w:rsid w:val="0037338F"/>
    <w:rsid w:val="003766AE"/>
    <w:rsid w:val="00382D05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E69C5"/>
    <w:rsid w:val="003E74F2"/>
    <w:rsid w:val="003F0F00"/>
    <w:rsid w:val="003F1269"/>
    <w:rsid w:val="003F2B10"/>
    <w:rsid w:val="003F48EE"/>
    <w:rsid w:val="003F521B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26961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24A5"/>
    <w:rsid w:val="00473E4B"/>
    <w:rsid w:val="00476D8A"/>
    <w:rsid w:val="00477990"/>
    <w:rsid w:val="00483105"/>
    <w:rsid w:val="00486825"/>
    <w:rsid w:val="00486D1B"/>
    <w:rsid w:val="00491A5C"/>
    <w:rsid w:val="004921BA"/>
    <w:rsid w:val="004938EE"/>
    <w:rsid w:val="004969A4"/>
    <w:rsid w:val="004A37D5"/>
    <w:rsid w:val="004A39A7"/>
    <w:rsid w:val="004A498B"/>
    <w:rsid w:val="004A53C6"/>
    <w:rsid w:val="004A5A3A"/>
    <w:rsid w:val="004A68B6"/>
    <w:rsid w:val="004B5A61"/>
    <w:rsid w:val="004C1FE4"/>
    <w:rsid w:val="004C5C41"/>
    <w:rsid w:val="004D094B"/>
    <w:rsid w:val="004D5354"/>
    <w:rsid w:val="004D65E3"/>
    <w:rsid w:val="004F18DE"/>
    <w:rsid w:val="004F4837"/>
    <w:rsid w:val="004F79C8"/>
    <w:rsid w:val="005016B7"/>
    <w:rsid w:val="00503B1B"/>
    <w:rsid w:val="005042F4"/>
    <w:rsid w:val="00506581"/>
    <w:rsid w:val="0050788D"/>
    <w:rsid w:val="005108E2"/>
    <w:rsid w:val="00512AE2"/>
    <w:rsid w:val="0051347A"/>
    <w:rsid w:val="00516A9D"/>
    <w:rsid w:val="005221B1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75531"/>
    <w:rsid w:val="00581618"/>
    <w:rsid w:val="005828CA"/>
    <w:rsid w:val="0059177F"/>
    <w:rsid w:val="00591BFE"/>
    <w:rsid w:val="00594FA2"/>
    <w:rsid w:val="0059532E"/>
    <w:rsid w:val="00595839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3E1C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28B2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2105A"/>
    <w:rsid w:val="00626A74"/>
    <w:rsid w:val="0063049B"/>
    <w:rsid w:val="0063184E"/>
    <w:rsid w:val="006349D9"/>
    <w:rsid w:val="00641F75"/>
    <w:rsid w:val="00642546"/>
    <w:rsid w:val="00642944"/>
    <w:rsid w:val="00642AA5"/>
    <w:rsid w:val="00645ABA"/>
    <w:rsid w:val="00654DE4"/>
    <w:rsid w:val="00656957"/>
    <w:rsid w:val="00660CF5"/>
    <w:rsid w:val="00665A16"/>
    <w:rsid w:val="00672992"/>
    <w:rsid w:val="00672AAD"/>
    <w:rsid w:val="006832DC"/>
    <w:rsid w:val="00685767"/>
    <w:rsid w:val="006878DB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637E"/>
    <w:rsid w:val="006F7629"/>
    <w:rsid w:val="00700C85"/>
    <w:rsid w:val="00701368"/>
    <w:rsid w:val="00702B18"/>
    <w:rsid w:val="007038DD"/>
    <w:rsid w:val="00703C8A"/>
    <w:rsid w:val="00707ADF"/>
    <w:rsid w:val="00710163"/>
    <w:rsid w:val="00715003"/>
    <w:rsid w:val="00715763"/>
    <w:rsid w:val="00715A3C"/>
    <w:rsid w:val="00722F89"/>
    <w:rsid w:val="00723FEF"/>
    <w:rsid w:val="00724E03"/>
    <w:rsid w:val="00727B12"/>
    <w:rsid w:val="0073084A"/>
    <w:rsid w:val="00730C07"/>
    <w:rsid w:val="0073178E"/>
    <w:rsid w:val="00733A56"/>
    <w:rsid w:val="00740BB5"/>
    <w:rsid w:val="00742234"/>
    <w:rsid w:val="00742717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860CD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3B0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458C"/>
    <w:rsid w:val="00810F45"/>
    <w:rsid w:val="0081420D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50EF"/>
    <w:rsid w:val="00863E07"/>
    <w:rsid w:val="00874597"/>
    <w:rsid w:val="00874D9A"/>
    <w:rsid w:val="00875B3E"/>
    <w:rsid w:val="00876549"/>
    <w:rsid w:val="00882A2B"/>
    <w:rsid w:val="00885468"/>
    <w:rsid w:val="008933A5"/>
    <w:rsid w:val="00893A55"/>
    <w:rsid w:val="00893C86"/>
    <w:rsid w:val="00894FA7"/>
    <w:rsid w:val="00895B6A"/>
    <w:rsid w:val="0089670F"/>
    <w:rsid w:val="008A0F4F"/>
    <w:rsid w:val="008A435D"/>
    <w:rsid w:val="008A4F6E"/>
    <w:rsid w:val="008A681D"/>
    <w:rsid w:val="008B24C3"/>
    <w:rsid w:val="008B2EE3"/>
    <w:rsid w:val="008B3B3A"/>
    <w:rsid w:val="008B3BAA"/>
    <w:rsid w:val="008B52CD"/>
    <w:rsid w:val="008C597B"/>
    <w:rsid w:val="008D1B2E"/>
    <w:rsid w:val="008D6A89"/>
    <w:rsid w:val="008D7F3C"/>
    <w:rsid w:val="008E021A"/>
    <w:rsid w:val="008E0A9D"/>
    <w:rsid w:val="008E1AB5"/>
    <w:rsid w:val="008E3D17"/>
    <w:rsid w:val="008E73F1"/>
    <w:rsid w:val="008F26BD"/>
    <w:rsid w:val="008F45B9"/>
    <w:rsid w:val="008F7033"/>
    <w:rsid w:val="00902D82"/>
    <w:rsid w:val="009042AB"/>
    <w:rsid w:val="00904B55"/>
    <w:rsid w:val="009106E5"/>
    <w:rsid w:val="009106FA"/>
    <w:rsid w:val="00913C03"/>
    <w:rsid w:val="00914677"/>
    <w:rsid w:val="00924255"/>
    <w:rsid w:val="00926DB3"/>
    <w:rsid w:val="00932180"/>
    <w:rsid w:val="0093588A"/>
    <w:rsid w:val="00935EFE"/>
    <w:rsid w:val="00944414"/>
    <w:rsid w:val="009455F2"/>
    <w:rsid w:val="009543E2"/>
    <w:rsid w:val="0095505C"/>
    <w:rsid w:val="00955E86"/>
    <w:rsid w:val="00961B66"/>
    <w:rsid w:val="00962AF1"/>
    <w:rsid w:val="00964214"/>
    <w:rsid w:val="0096753B"/>
    <w:rsid w:val="00967E59"/>
    <w:rsid w:val="00972CB4"/>
    <w:rsid w:val="0097323F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A3E93"/>
    <w:rsid w:val="009A7B65"/>
    <w:rsid w:val="009B0B08"/>
    <w:rsid w:val="009B1564"/>
    <w:rsid w:val="009B1BCC"/>
    <w:rsid w:val="009B1C37"/>
    <w:rsid w:val="009B4258"/>
    <w:rsid w:val="009B434E"/>
    <w:rsid w:val="009B543B"/>
    <w:rsid w:val="009B6367"/>
    <w:rsid w:val="009B6C3F"/>
    <w:rsid w:val="009C07B3"/>
    <w:rsid w:val="009C0B15"/>
    <w:rsid w:val="009C2BE9"/>
    <w:rsid w:val="009C5A90"/>
    <w:rsid w:val="009C5B01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9F1115"/>
    <w:rsid w:val="00A03A50"/>
    <w:rsid w:val="00A04672"/>
    <w:rsid w:val="00A05D74"/>
    <w:rsid w:val="00A07D56"/>
    <w:rsid w:val="00A2011E"/>
    <w:rsid w:val="00A23E57"/>
    <w:rsid w:val="00A24493"/>
    <w:rsid w:val="00A279D1"/>
    <w:rsid w:val="00A27DDE"/>
    <w:rsid w:val="00A34499"/>
    <w:rsid w:val="00A403B2"/>
    <w:rsid w:val="00A42D71"/>
    <w:rsid w:val="00A432A2"/>
    <w:rsid w:val="00A54968"/>
    <w:rsid w:val="00A569B8"/>
    <w:rsid w:val="00A601FB"/>
    <w:rsid w:val="00A644AA"/>
    <w:rsid w:val="00A6682A"/>
    <w:rsid w:val="00A7269B"/>
    <w:rsid w:val="00A72C07"/>
    <w:rsid w:val="00A746B0"/>
    <w:rsid w:val="00A7507A"/>
    <w:rsid w:val="00A771D9"/>
    <w:rsid w:val="00A82B12"/>
    <w:rsid w:val="00A85315"/>
    <w:rsid w:val="00A86466"/>
    <w:rsid w:val="00A871E8"/>
    <w:rsid w:val="00A9144B"/>
    <w:rsid w:val="00A93B82"/>
    <w:rsid w:val="00A95ABA"/>
    <w:rsid w:val="00A95BA0"/>
    <w:rsid w:val="00A968C3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6C51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E771F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21A0F"/>
    <w:rsid w:val="00B22DD2"/>
    <w:rsid w:val="00B267AF"/>
    <w:rsid w:val="00B33D27"/>
    <w:rsid w:val="00B364A9"/>
    <w:rsid w:val="00B402F1"/>
    <w:rsid w:val="00B41682"/>
    <w:rsid w:val="00B46A5A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1377"/>
    <w:rsid w:val="00BB3A5C"/>
    <w:rsid w:val="00BB681B"/>
    <w:rsid w:val="00BB6AA3"/>
    <w:rsid w:val="00BB718E"/>
    <w:rsid w:val="00BC47EB"/>
    <w:rsid w:val="00BC4EE6"/>
    <w:rsid w:val="00BC668E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13EC"/>
    <w:rsid w:val="00C17771"/>
    <w:rsid w:val="00C214F7"/>
    <w:rsid w:val="00C2161B"/>
    <w:rsid w:val="00C22C3A"/>
    <w:rsid w:val="00C24109"/>
    <w:rsid w:val="00C31ADE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73CF9"/>
    <w:rsid w:val="00C749D7"/>
    <w:rsid w:val="00C74BC1"/>
    <w:rsid w:val="00C773A6"/>
    <w:rsid w:val="00C81F6B"/>
    <w:rsid w:val="00C82DFC"/>
    <w:rsid w:val="00C83055"/>
    <w:rsid w:val="00C831C4"/>
    <w:rsid w:val="00C86061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E0D9C"/>
    <w:rsid w:val="00CF2CD3"/>
    <w:rsid w:val="00CF4621"/>
    <w:rsid w:val="00D02CB1"/>
    <w:rsid w:val="00D02E7D"/>
    <w:rsid w:val="00D0362D"/>
    <w:rsid w:val="00D05000"/>
    <w:rsid w:val="00D051A3"/>
    <w:rsid w:val="00D052B2"/>
    <w:rsid w:val="00D06622"/>
    <w:rsid w:val="00D1189B"/>
    <w:rsid w:val="00D14125"/>
    <w:rsid w:val="00D15DC6"/>
    <w:rsid w:val="00D17F8F"/>
    <w:rsid w:val="00D20977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560A6"/>
    <w:rsid w:val="00D56C33"/>
    <w:rsid w:val="00D56CE2"/>
    <w:rsid w:val="00D61603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6F1C"/>
    <w:rsid w:val="00D87D80"/>
    <w:rsid w:val="00D90218"/>
    <w:rsid w:val="00D93E4C"/>
    <w:rsid w:val="00D974DB"/>
    <w:rsid w:val="00DA2700"/>
    <w:rsid w:val="00DA2E82"/>
    <w:rsid w:val="00DA3E91"/>
    <w:rsid w:val="00DA5F11"/>
    <w:rsid w:val="00DB4BD2"/>
    <w:rsid w:val="00DB760E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691A"/>
    <w:rsid w:val="00DF4616"/>
    <w:rsid w:val="00DF7025"/>
    <w:rsid w:val="00E0116D"/>
    <w:rsid w:val="00E016DF"/>
    <w:rsid w:val="00E01704"/>
    <w:rsid w:val="00E02C18"/>
    <w:rsid w:val="00E047F7"/>
    <w:rsid w:val="00E06371"/>
    <w:rsid w:val="00E078AD"/>
    <w:rsid w:val="00E227C8"/>
    <w:rsid w:val="00E22EC3"/>
    <w:rsid w:val="00E24A99"/>
    <w:rsid w:val="00E27BCC"/>
    <w:rsid w:val="00E34F8E"/>
    <w:rsid w:val="00E40A85"/>
    <w:rsid w:val="00E42032"/>
    <w:rsid w:val="00E428A7"/>
    <w:rsid w:val="00E42EBC"/>
    <w:rsid w:val="00E51544"/>
    <w:rsid w:val="00E52D9A"/>
    <w:rsid w:val="00E60D4D"/>
    <w:rsid w:val="00E6158D"/>
    <w:rsid w:val="00E6572A"/>
    <w:rsid w:val="00E6637F"/>
    <w:rsid w:val="00E66A40"/>
    <w:rsid w:val="00E66B13"/>
    <w:rsid w:val="00E70F26"/>
    <w:rsid w:val="00E712C3"/>
    <w:rsid w:val="00E71FD8"/>
    <w:rsid w:val="00E720CF"/>
    <w:rsid w:val="00E736B7"/>
    <w:rsid w:val="00E73CD1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3C3C"/>
    <w:rsid w:val="00EB5609"/>
    <w:rsid w:val="00EB62A0"/>
    <w:rsid w:val="00EC24E1"/>
    <w:rsid w:val="00EC7D95"/>
    <w:rsid w:val="00ED38FA"/>
    <w:rsid w:val="00ED7ACC"/>
    <w:rsid w:val="00EE0660"/>
    <w:rsid w:val="00EE23F5"/>
    <w:rsid w:val="00EE3348"/>
    <w:rsid w:val="00EE474E"/>
    <w:rsid w:val="00EE79C5"/>
    <w:rsid w:val="00EF1934"/>
    <w:rsid w:val="00EF2355"/>
    <w:rsid w:val="00EF3208"/>
    <w:rsid w:val="00EF35E3"/>
    <w:rsid w:val="00F014BA"/>
    <w:rsid w:val="00F02B5D"/>
    <w:rsid w:val="00F033CD"/>
    <w:rsid w:val="00F03EFC"/>
    <w:rsid w:val="00F120D7"/>
    <w:rsid w:val="00F127FA"/>
    <w:rsid w:val="00F12F4A"/>
    <w:rsid w:val="00F159DE"/>
    <w:rsid w:val="00F20519"/>
    <w:rsid w:val="00F2461E"/>
    <w:rsid w:val="00F268E3"/>
    <w:rsid w:val="00F26A9C"/>
    <w:rsid w:val="00F27BF6"/>
    <w:rsid w:val="00F3154C"/>
    <w:rsid w:val="00F33A87"/>
    <w:rsid w:val="00F37491"/>
    <w:rsid w:val="00F420C0"/>
    <w:rsid w:val="00F422D0"/>
    <w:rsid w:val="00F44CFB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67127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93502"/>
    <w:rsid w:val="00FA08B6"/>
    <w:rsid w:val="00FA4D3A"/>
    <w:rsid w:val="00FA69E1"/>
    <w:rsid w:val="00FB4B27"/>
    <w:rsid w:val="00FB4DE4"/>
    <w:rsid w:val="00FB50E3"/>
    <w:rsid w:val="00FD12D9"/>
    <w:rsid w:val="00FD3629"/>
    <w:rsid w:val="00FD695E"/>
    <w:rsid w:val="00FD7A6F"/>
    <w:rsid w:val="00FE578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8" ma:contentTypeDescription="Creare un nuovo documento." ma:contentTypeScope="" ma:versionID="5f00ca5cf09b6bd21a1356d258daf0fe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2f9435d7016335b71887380ccff0cd64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Props1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A52B8-9BE0-4CB0-933F-C6B7B350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3646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124</cp:revision>
  <cp:lastPrinted>2019-03-12T15:36:00Z</cp:lastPrinted>
  <dcterms:created xsi:type="dcterms:W3CDTF">2021-04-30T09:21:00Z</dcterms:created>
  <dcterms:modified xsi:type="dcterms:W3CDTF">2024-03-22T11:18:00Z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