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1BC4" w14:textId="0F3C4BD0" w:rsidR="00B147FB" w:rsidRPr="0025044E" w:rsidRDefault="00947C8F" w:rsidP="00D12FAD">
      <w:pPr>
        <w:shd w:val="clear" w:color="auto" w:fill="FFFFFF"/>
        <w:spacing w:after="0" w:line="240" w:lineRule="auto"/>
        <w:rPr>
          <w:rFonts w:eastAsia="Times New Roman" w:cstheme="minorHAnsi"/>
          <w:kern w:val="0"/>
          <w:lang w:eastAsia="it-IT"/>
          <w14:ligatures w14:val="none"/>
        </w:rPr>
      </w:pPr>
      <w:r w:rsidRPr="0025044E">
        <w:rPr>
          <w:rFonts w:eastAsia="Times New Roman" w:cstheme="minorHAnsi"/>
          <w:b/>
          <w:bCs/>
          <w:kern w:val="0"/>
          <w:lang w:eastAsia="it-IT"/>
          <w14:ligatures w14:val="none"/>
        </w:rPr>
        <w:t>TCW</w:t>
      </w:r>
      <w:r w:rsidR="00F250AB">
        <w:rPr>
          <w:rFonts w:eastAsia="Times New Roman" w:cstheme="minorHAnsi"/>
          <w:b/>
          <w:bCs/>
          <w:kern w:val="0"/>
          <w:lang w:eastAsia="it-IT"/>
          <w14:ligatures w14:val="none"/>
        </w:rPr>
        <w:t xml:space="preserve"> -</w:t>
      </w:r>
      <w:r w:rsidRPr="0025044E">
        <w:rPr>
          <w:rFonts w:eastAsia="Times New Roman" w:cstheme="minorHAnsi"/>
          <w:b/>
          <w:bCs/>
          <w:kern w:val="0"/>
          <w:lang w:eastAsia="it-IT"/>
          <w14:ligatures w14:val="none"/>
        </w:rPr>
        <w:t xml:space="preserve"> Reddito fisso, le prospettive </w:t>
      </w:r>
      <w:r w:rsidR="00D1295F">
        <w:rPr>
          <w:rFonts w:eastAsia="Times New Roman" w:cstheme="minorHAnsi"/>
          <w:b/>
          <w:bCs/>
          <w:kern w:val="0"/>
          <w:lang w:eastAsia="it-IT"/>
          <w14:ligatures w14:val="none"/>
        </w:rPr>
        <w:t xml:space="preserve">negli USA </w:t>
      </w:r>
      <w:r w:rsidRPr="0025044E">
        <w:rPr>
          <w:rFonts w:eastAsia="Times New Roman" w:cstheme="minorHAnsi"/>
          <w:b/>
          <w:bCs/>
          <w:kern w:val="0"/>
          <w:lang w:eastAsia="it-IT"/>
          <w14:ligatures w14:val="none"/>
        </w:rPr>
        <w:t>dopo il rally di fine anno</w:t>
      </w:r>
      <w:r w:rsidRPr="00947C8F">
        <w:rPr>
          <w:rFonts w:eastAsia="Times New Roman" w:cstheme="minorHAnsi"/>
          <w:kern w:val="0"/>
          <w:lang w:eastAsia="it-IT"/>
          <w14:ligatures w14:val="none"/>
        </w:rPr>
        <w:br/>
      </w:r>
      <w:r>
        <w:rPr>
          <w:rFonts w:eastAsia="Times New Roman" w:cstheme="minorHAnsi"/>
          <w:kern w:val="0"/>
          <w:lang w:eastAsia="it-IT"/>
          <w14:ligatures w14:val="none"/>
        </w:rPr>
        <w:br/>
      </w:r>
      <w:r w:rsidRPr="0025044E">
        <w:rPr>
          <w:rFonts w:eastAsia="Times New Roman" w:cstheme="minorHAnsi"/>
          <w:kern w:val="0"/>
          <w:lang w:eastAsia="it-IT"/>
          <w14:ligatures w14:val="none"/>
        </w:rPr>
        <w:t xml:space="preserve">A cura di </w:t>
      </w:r>
      <w:r w:rsidRPr="0025044E">
        <w:rPr>
          <w:rFonts w:cstheme="minorHAnsi"/>
          <w:b/>
          <w:bCs/>
        </w:rPr>
        <w:t>Tammy Karp, senior portfolio manager fixed income, TCW</w:t>
      </w:r>
    </w:p>
    <w:p w14:paraId="42CAC34F" w14:textId="7FF2F17F" w:rsidR="00327191" w:rsidRDefault="00327191" w:rsidP="00327191">
      <w:pPr>
        <w:shd w:val="clear" w:color="auto" w:fill="FFFFFF"/>
        <w:spacing w:after="0" w:line="240" w:lineRule="auto"/>
        <w:rPr>
          <w:rFonts w:eastAsia="Times New Roman" w:cstheme="minorHAnsi"/>
          <w:kern w:val="0"/>
          <w:lang w:eastAsia="it-IT"/>
          <w14:ligatures w14:val="none"/>
        </w:rPr>
      </w:pPr>
      <w:r>
        <w:rPr>
          <w:rFonts w:eastAsia="Times New Roman" w:cstheme="minorHAnsi"/>
          <w:color w:val="333333"/>
          <w:kern w:val="0"/>
          <w:lang w:eastAsia="it-IT"/>
          <w14:ligatures w14:val="none"/>
        </w:rPr>
        <w:br/>
      </w:r>
      <w:r w:rsidR="00B77E02" w:rsidRPr="0025044E">
        <w:rPr>
          <w:rFonts w:eastAsia="Times New Roman" w:cstheme="minorHAnsi"/>
          <w:kern w:val="0"/>
          <w:lang w:eastAsia="it-IT"/>
          <w14:ligatures w14:val="none"/>
        </w:rPr>
        <w:t xml:space="preserve">Il </w:t>
      </w:r>
      <w:r w:rsidR="00B77E02" w:rsidRPr="0025044E">
        <w:rPr>
          <w:rFonts w:eastAsia="Times New Roman" w:cstheme="minorHAnsi"/>
          <w:b/>
          <w:bCs/>
          <w:kern w:val="0"/>
          <w:lang w:eastAsia="it-IT"/>
          <w14:ligatures w14:val="none"/>
        </w:rPr>
        <w:t>sentiment degli investitori</w:t>
      </w:r>
      <w:r w:rsidR="00B77E02" w:rsidRPr="0025044E">
        <w:rPr>
          <w:rFonts w:eastAsia="Times New Roman" w:cstheme="minorHAnsi"/>
          <w:kern w:val="0"/>
          <w:lang w:eastAsia="it-IT"/>
          <w14:ligatures w14:val="none"/>
        </w:rPr>
        <w:t xml:space="preserve"> </w:t>
      </w:r>
      <w:r w:rsidR="00DC13E4" w:rsidRPr="0025044E">
        <w:rPr>
          <w:rFonts w:eastAsia="Times New Roman" w:cstheme="minorHAnsi"/>
          <w:kern w:val="0"/>
          <w:lang w:eastAsia="it-IT"/>
          <w14:ligatures w14:val="none"/>
        </w:rPr>
        <w:t>si è fatto</w:t>
      </w:r>
      <w:r w:rsidR="00B77E02" w:rsidRPr="0025044E">
        <w:rPr>
          <w:rFonts w:eastAsia="Times New Roman" w:cstheme="minorHAnsi"/>
          <w:kern w:val="0"/>
          <w:lang w:eastAsia="it-IT"/>
          <w14:ligatures w14:val="none"/>
        </w:rPr>
        <w:t xml:space="preserve"> decisamente </w:t>
      </w:r>
      <w:r w:rsidR="00B77E02" w:rsidRPr="0025044E">
        <w:rPr>
          <w:rFonts w:eastAsia="Times New Roman" w:cstheme="minorHAnsi"/>
          <w:b/>
          <w:bCs/>
          <w:kern w:val="0"/>
          <w:lang w:eastAsia="it-IT"/>
          <w14:ligatures w14:val="none"/>
        </w:rPr>
        <w:t>più rialzista a novembre</w:t>
      </w:r>
      <w:r w:rsidR="00B77E02" w:rsidRPr="0025044E">
        <w:rPr>
          <w:rFonts w:eastAsia="Times New Roman" w:cstheme="minorHAnsi"/>
          <w:kern w:val="0"/>
          <w:lang w:eastAsia="it-IT"/>
          <w14:ligatures w14:val="none"/>
        </w:rPr>
        <w:t>, dando luogo a un ampio rally</w:t>
      </w:r>
      <w:r w:rsidR="00D12FAD">
        <w:rPr>
          <w:rFonts w:eastAsia="Times New Roman" w:cstheme="minorHAnsi"/>
          <w:kern w:val="0"/>
          <w:lang w:eastAsia="it-IT"/>
          <w14:ligatures w14:val="none"/>
        </w:rPr>
        <w:t xml:space="preserve">. Performance positive sono state registrate per le </w:t>
      </w:r>
      <w:r w:rsidR="00B77E02" w:rsidRPr="0025044E">
        <w:rPr>
          <w:rFonts w:eastAsia="Times New Roman" w:cstheme="minorHAnsi"/>
          <w:kern w:val="0"/>
          <w:lang w:eastAsia="it-IT"/>
          <w14:ligatures w14:val="none"/>
        </w:rPr>
        <w:t>azioni (S&amp;P +9%),</w:t>
      </w:r>
      <w:r w:rsidR="00947C8F">
        <w:rPr>
          <w:rFonts w:eastAsia="Times New Roman" w:cstheme="minorHAnsi"/>
          <w:kern w:val="0"/>
          <w:lang w:eastAsia="it-IT"/>
          <w14:ligatures w14:val="none"/>
        </w:rPr>
        <w:t xml:space="preserve"> </w:t>
      </w:r>
      <w:r w:rsidR="00D12FAD">
        <w:rPr>
          <w:rFonts w:eastAsia="Times New Roman" w:cstheme="minorHAnsi"/>
          <w:kern w:val="0"/>
          <w:lang w:eastAsia="it-IT"/>
          <w14:ligatures w14:val="none"/>
        </w:rPr>
        <w:t xml:space="preserve">i </w:t>
      </w:r>
      <w:r w:rsidR="00B77E02" w:rsidRPr="0025044E">
        <w:rPr>
          <w:rFonts w:eastAsia="Times New Roman" w:cstheme="minorHAnsi"/>
          <w:kern w:val="0"/>
          <w:lang w:eastAsia="it-IT"/>
          <w14:ligatures w14:val="none"/>
        </w:rPr>
        <w:t xml:space="preserve">Treasury (+3,47%), </w:t>
      </w:r>
      <w:r w:rsidR="00D12FAD">
        <w:rPr>
          <w:rFonts w:eastAsia="Times New Roman" w:cstheme="minorHAnsi"/>
          <w:kern w:val="0"/>
          <w:lang w:eastAsia="it-IT"/>
          <w14:ligatures w14:val="none"/>
        </w:rPr>
        <w:t>ne</w:t>
      </w:r>
      <w:r w:rsidR="00947C8F">
        <w:rPr>
          <w:rFonts w:eastAsia="Times New Roman" w:cstheme="minorHAnsi"/>
          <w:kern w:val="0"/>
          <w:lang w:eastAsia="it-IT"/>
          <w14:ligatures w14:val="none"/>
        </w:rPr>
        <w:t xml:space="preserve">l comparto </w:t>
      </w:r>
      <w:r w:rsidR="00B77E02" w:rsidRPr="0025044E">
        <w:rPr>
          <w:rFonts w:eastAsia="Times New Roman" w:cstheme="minorHAnsi"/>
          <w:kern w:val="0"/>
          <w:lang w:eastAsia="it-IT"/>
          <w14:ligatures w14:val="none"/>
        </w:rPr>
        <w:t xml:space="preserve">high yield (+4,53%) e </w:t>
      </w:r>
      <w:r w:rsidR="00D12FAD">
        <w:rPr>
          <w:rFonts w:eastAsia="Times New Roman" w:cstheme="minorHAnsi"/>
          <w:kern w:val="0"/>
          <w:lang w:eastAsia="it-IT"/>
          <w14:ligatures w14:val="none"/>
        </w:rPr>
        <w:t>nel</w:t>
      </w:r>
      <w:r w:rsidR="00947C8F">
        <w:rPr>
          <w:rFonts w:eastAsia="Times New Roman" w:cstheme="minorHAnsi"/>
          <w:kern w:val="0"/>
          <w:lang w:eastAsia="it-IT"/>
          <w14:ligatures w14:val="none"/>
        </w:rPr>
        <w:t xml:space="preserve"> </w:t>
      </w:r>
      <w:r w:rsidR="00B77E02" w:rsidRPr="0025044E">
        <w:rPr>
          <w:rFonts w:eastAsia="Times New Roman" w:cstheme="minorHAnsi"/>
          <w:kern w:val="0"/>
          <w:lang w:eastAsia="it-IT"/>
          <w14:ligatures w14:val="none"/>
        </w:rPr>
        <w:t xml:space="preserve">credito investment grade (+5,68%). </w:t>
      </w:r>
      <w:r w:rsidR="00B77E02" w:rsidRPr="0025044E">
        <w:rPr>
          <w:rFonts w:eastAsia="Times New Roman" w:cstheme="minorHAnsi"/>
          <w:b/>
          <w:bCs/>
          <w:kern w:val="0"/>
          <w:lang w:eastAsia="it-IT"/>
          <w14:ligatures w14:val="none"/>
        </w:rPr>
        <w:t xml:space="preserve">L'euforia è stata sospinta da </w:t>
      </w:r>
      <w:r w:rsidR="00947C8F" w:rsidRPr="0025044E">
        <w:rPr>
          <w:rFonts w:eastAsia="Times New Roman" w:cstheme="minorHAnsi"/>
          <w:b/>
          <w:bCs/>
          <w:kern w:val="0"/>
          <w:lang w:eastAsia="it-IT"/>
          <w14:ligatures w14:val="none"/>
        </w:rPr>
        <w:t>una confluenza</w:t>
      </w:r>
      <w:r w:rsidR="00B77E02" w:rsidRPr="0025044E">
        <w:rPr>
          <w:rFonts w:eastAsia="Times New Roman" w:cstheme="minorHAnsi"/>
          <w:b/>
          <w:bCs/>
          <w:kern w:val="0"/>
          <w:lang w:eastAsia="it-IT"/>
          <w14:ligatures w14:val="none"/>
        </w:rPr>
        <w:t xml:space="preserve"> di fattori</w:t>
      </w:r>
      <w:r w:rsidR="00B77E02" w:rsidRPr="0025044E">
        <w:rPr>
          <w:rFonts w:eastAsia="Times New Roman" w:cstheme="minorHAnsi"/>
          <w:kern w:val="0"/>
          <w:lang w:eastAsia="it-IT"/>
          <w14:ligatures w14:val="none"/>
        </w:rPr>
        <w:t>, tra cui i dati sull'inflazione</w:t>
      </w:r>
      <w:r w:rsidR="00DC13E4" w:rsidRPr="0025044E">
        <w:rPr>
          <w:rFonts w:eastAsia="Times New Roman" w:cstheme="minorHAnsi"/>
          <w:kern w:val="0"/>
          <w:lang w:eastAsia="it-IT"/>
          <w14:ligatures w14:val="none"/>
        </w:rPr>
        <w:t>,</w:t>
      </w:r>
      <w:r w:rsidR="00B77E02" w:rsidRPr="0025044E">
        <w:rPr>
          <w:rFonts w:eastAsia="Times New Roman" w:cstheme="minorHAnsi"/>
          <w:kern w:val="0"/>
          <w:lang w:eastAsia="it-IT"/>
          <w14:ligatures w14:val="none"/>
        </w:rPr>
        <w:t xml:space="preserve"> inferiori alle attese</w:t>
      </w:r>
      <w:r w:rsidR="00DC13E4" w:rsidRPr="0025044E">
        <w:rPr>
          <w:rFonts w:eastAsia="Times New Roman" w:cstheme="minorHAnsi"/>
          <w:kern w:val="0"/>
          <w:lang w:eastAsia="it-IT"/>
          <w14:ligatures w14:val="none"/>
        </w:rPr>
        <w:t>,</w:t>
      </w:r>
      <w:r w:rsidR="00B77E02" w:rsidRPr="0025044E">
        <w:rPr>
          <w:rFonts w:eastAsia="Times New Roman" w:cstheme="minorHAnsi"/>
          <w:kern w:val="0"/>
          <w:lang w:eastAsia="it-IT"/>
          <w14:ligatures w14:val="none"/>
        </w:rPr>
        <w:t xml:space="preserve"> e le aspettative di un pivot accomodante della Fed</w:t>
      </w:r>
      <w:r w:rsidR="00947C8F">
        <w:rPr>
          <w:rFonts w:eastAsia="Times New Roman" w:cstheme="minorHAnsi"/>
          <w:kern w:val="0"/>
          <w:lang w:eastAsia="it-IT"/>
          <w14:ligatures w14:val="none"/>
        </w:rPr>
        <w:t xml:space="preserve">, con il </w:t>
      </w:r>
      <w:r w:rsidR="00B77E02" w:rsidRPr="0025044E">
        <w:rPr>
          <w:rFonts w:eastAsia="Times New Roman" w:cstheme="minorHAnsi"/>
          <w:kern w:val="0"/>
          <w:lang w:eastAsia="it-IT"/>
          <w14:ligatures w14:val="none"/>
        </w:rPr>
        <w:t>60% di probabilità di un taglio dei tassi entro la metà del 2024.</w:t>
      </w:r>
      <w:r w:rsidR="00947C8F">
        <w:rPr>
          <w:rFonts w:eastAsia="Times New Roman" w:cstheme="minorHAnsi"/>
          <w:kern w:val="0"/>
          <w:lang w:eastAsia="it-IT"/>
          <w14:ligatures w14:val="none"/>
        </w:rPr>
        <w:t xml:space="preserve"> I</w:t>
      </w:r>
      <w:r w:rsidR="00B77E02" w:rsidRPr="0025044E">
        <w:rPr>
          <w:rFonts w:eastAsia="Times New Roman" w:cstheme="minorHAnsi"/>
          <w:kern w:val="0"/>
          <w:lang w:eastAsia="it-IT"/>
          <w14:ligatures w14:val="none"/>
        </w:rPr>
        <w:t xml:space="preserve">l miglioramento della domanda di Treasury, </w:t>
      </w:r>
      <w:r w:rsidR="00D12FAD">
        <w:rPr>
          <w:rFonts w:eastAsia="Times New Roman" w:cstheme="minorHAnsi"/>
          <w:kern w:val="0"/>
          <w:lang w:eastAsia="it-IT"/>
          <w14:ligatures w14:val="none"/>
        </w:rPr>
        <w:t>inoltre,</w:t>
      </w:r>
      <w:r w:rsidR="00B77E02" w:rsidRPr="0025044E">
        <w:rPr>
          <w:rFonts w:eastAsia="Times New Roman" w:cstheme="minorHAnsi"/>
          <w:kern w:val="0"/>
          <w:lang w:eastAsia="it-IT"/>
          <w14:ligatures w14:val="none"/>
        </w:rPr>
        <w:t xml:space="preserve"> ha determinato un forte calo dei tassi privi di rischio. Di conseguenza,</w:t>
      </w:r>
      <w:r w:rsidR="00B77E02" w:rsidRPr="0025044E">
        <w:rPr>
          <w:rFonts w:eastAsia="Times New Roman" w:cstheme="minorHAnsi"/>
          <w:b/>
          <w:bCs/>
          <w:kern w:val="0"/>
          <w:lang w:eastAsia="it-IT"/>
          <w14:ligatures w14:val="none"/>
        </w:rPr>
        <w:t xml:space="preserve"> il mercato del credito I</w:t>
      </w:r>
      <w:r w:rsidR="00F250AB">
        <w:rPr>
          <w:rFonts w:eastAsia="Times New Roman" w:cstheme="minorHAnsi"/>
          <w:b/>
          <w:bCs/>
          <w:kern w:val="0"/>
          <w:lang w:eastAsia="it-IT"/>
          <w14:ligatures w14:val="none"/>
        </w:rPr>
        <w:t xml:space="preserve">nvestment </w:t>
      </w:r>
      <w:r w:rsidR="00B77E02" w:rsidRPr="0025044E">
        <w:rPr>
          <w:rFonts w:eastAsia="Times New Roman" w:cstheme="minorHAnsi"/>
          <w:b/>
          <w:bCs/>
          <w:kern w:val="0"/>
          <w:lang w:eastAsia="it-IT"/>
          <w14:ligatures w14:val="none"/>
        </w:rPr>
        <w:t>G</w:t>
      </w:r>
      <w:r w:rsidR="00F250AB">
        <w:rPr>
          <w:rFonts w:eastAsia="Times New Roman" w:cstheme="minorHAnsi"/>
          <w:b/>
          <w:bCs/>
          <w:kern w:val="0"/>
          <w:lang w:eastAsia="it-IT"/>
          <w14:ligatures w14:val="none"/>
        </w:rPr>
        <w:t>rade</w:t>
      </w:r>
      <w:r w:rsidR="00B77E02" w:rsidRPr="0025044E">
        <w:rPr>
          <w:rFonts w:eastAsia="Times New Roman" w:cstheme="minorHAnsi"/>
          <w:b/>
          <w:bCs/>
          <w:kern w:val="0"/>
          <w:lang w:eastAsia="it-IT"/>
          <w14:ligatures w14:val="none"/>
        </w:rPr>
        <w:t xml:space="preserve"> ha registrato il più grande rally dal novembre 2022</w:t>
      </w:r>
      <w:r w:rsidR="00B77E02" w:rsidRPr="0025044E">
        <w:rPr>
          <w:rFonts w:eastAsia="Times New Roman" w:cstheme="minorHAnsi"/>
          <w:kern w:val="0"/>
          <w:lang w:eastAsia="it-IT"/>
          <w14:ligatures w14:val="none"/>
        </w:rPr>
        <w:t>.</w:t>
      </w:r>
      <w:r>
        <w:rPr>
          <w:rFonts w:eastAsia="Times New Roman" w:cstheme="minorHAnsi"/>
          <w:kern w:val="0"/>
          <w:lang w:eastAsia="it-IT"/>
          <w14:ligatures w14:val="none"/>
        </w:rPr>
        <w:t xml:space="preserve"> </w:t>
      </w:r>
    </w:p>
    <w:p w14:paraId="34170648" w14:textId="0631AAEC" w:rsidR="00327191" w:rsidRPr="0025044E" w:rsidRDefault="00BC0A34" w:rsidP="00327191">
      <w:pPr>
        <w:shd w:val="clear" w:color="auto" w:fill="FFFFFF"/>
        <w:spacing w:after="0" w:line="240" w:lineRule="auto"/>
        <w:rPr>
          <w:rFonts w:eastAsia="Times New Roman" w:cstheme="minorHAnsi"/>
          <w:kern w:val="0"/>
          <w:u w:val="single"/>
          <w:lang w:eastAsia="it-IT"/>
          <w14:ligatures w14:val="none"/>
        </w:rPr>
      </w:pPr>
      <w:r>
        <w:rPr>
          <w:rFonts w:eastAsia="Times New Roman" w:cstheme="minorHAnsi"/>
          <w:kern w:val="0"/>
          <w:lang w:eastAsia="it-IT"/>
          <w14:ligatures w14:val="none"/>
        </w:rPr>
        <w:br/>
      </w:r>
      <w:r>
        <w:rPr>
          <w:rFonts w:eastAsia="Times New Roman" w:cstheme="minorHAnsi"/>
          <w:kern w:val="0"/>
          <w:u w:val="single"/>
          <w:lang w:eastAsia="it-IT"/>
          <w14:ligatures w14:val="none"/>
        </w:rPr>
        <w:t>I r</w:t>
      </w:r>
      <w:r w:rsidRPr="0025044E">
        <w:rPr>
          <w:rFonts w:eastAsia="Times New Roman" w:cstheme="minorHAnsi"/>
          <w:kern w:val="0"/>
          <w:u w:val="single"/>
          <w:lang w:eastAsia="it-IT"/>
          <w14:ligatures w14:val="none"/>
        </w:rPr>
        <w:t>ischi da monitorare</w:t>
      </w:r>
    </w:p>
    <w:p w14:paraId="27BD3959" w14:textId="77D143EE" w:rsidR="002912ED" w:rsidRDefault="00327191" w:rsidP="00327191">
      <w:pPr>
        <w:shd w:val="clear" w:color="auto" w:fill="FFFFFF"/>
        <w:spacing w:after="0" w:line="240" w:lineRule="auto"/>
        <w:rPr>
          <w:rFonts w:eastAsia="Times New Roman" w:cstheme="minorHAnsi"/>
          <w:kern w:val="0"/>
          <w:lang w:eastAsia="it-IT"/>
          <w14:ligatures w14:val="none"/>
        </w:rPr>
      </w:pPr>
      <w:r w:rsidRPr="00327191">
        <w:rPr>
          <w:rFonts w:eastAsia="Times New Roman" w:cstheme="minorHAnsi"/>
          <w:kern w:val="0"/>
          <w:lang w:eastAsia="it-IT"/>
          <w14:ligatures w14:val="none"/>
        </w:rPr>
        <w:t>La combinazione di dati economici forti</w:t>
      </w:r>
      <w:r>
        <w:rPr>
          <w:rFonts w:eastAsia="Times New Roman" w:cstheme="minorHAnsi"/>
          <w:kern w:val="0"/>
          <w:lang w:eastAsia="it-IT"/>
          <w14:ligatures w14:val="none"/>
        </w:rPr>
        <w:t xml:space="preserve">, </w:t>
      </w:r>
      <w:r w:rsidRPr="00327191">
        <w:rPr>
          <w:rFonts w:eastAsia="Times New Roman" w:cstheme="minorHAnsi"/>
          <w:kern w:val="0"/>
          <w:lang w:eastAsia="it-IT"/>
          <w14:ligatures w14:val="none"/>
        </w:rPr>
        <w:t>ma non troppo</w:t>
      </w:r>
      <w:r>
        <w:rPr>
          <w:rFonts w:eastAsia="Times New Roman" w:cstheme="minorHAnsi"/>
          <w:kern w:val="0"/>
          <w:lang w:eastAsia="it-IT"/>
          <w14:ligatures w14:val="none"/>
        </w:rPr>
        <w:t>,</w:t>
      </w:r>
      <w:r w:rsidRPr="00327191">
        <w:rPr>
          <w:rFonts w:eastAsia="Times New Roman" w:cstheme="minorHAnsi"/>
          <w:kern w:val="0"/>
          <w:lang w:eastAsia="it-IT"/>
          <w14:ligatures w14:val="none"/>
        </w:rPr>
        <w:t xml:space="preserve"> e d</w:t>
      </w:r>
      <w:r w:rsidR="00F250AB">
        <w:rPr>
          <w:rFonts w:eastAsia="Times New Roman" w:cstheme="minorHAnsi"/>
          <w:kern w:val="0"/>
          <w:lang w:eastAsia="it-IT"/>
          <w14:ligatures w14:val="none"/>
        </w:rPr>
        <w:t>ell</w:t>
      </w:r>
      <w:r w:rsidRPr="00327191">
        <w:rPr>
          <w:rFonts w:eastAsia="Times New Roman" w:cstheme="minorHAnsi"/>
          <w:kern w:val="0"/>
          <w:lang w:eastAsia="it-IT"/>
          <w14:ligatures w14:val="none"/>
        </w:rPr>
        <w:t xml:space="preserve">’inflazione in calo ha fornito un sostegno al quadro di atterraggio quasi perfetto, con uno scenario </w:t>
      </w:r>
      <w:r w:rsidR="00F25D04">
        <w:rPr>
          <w:rFonts w:eastAsia="Times New Roman" w:cstheme="minorHAnsi"/>
          <w:kern w:val="0"/>
          <w:lang w:eastAsia="it-IT"/>
          <w14:ligatures w14:val="none"/>
        </w:rPr>
        <w:t>“</w:t>
      </w:r>
      <w:r w:rsidRPr="00327191">
        <w:rPr>
          <w:rFonts w:eastAsia="Times New Roman" w:cstheme="minorHAnsi"/>
          <w:kern w:val="0"/>
          <w:lang w:eastAsia="it-IT"/>
          <w14:ligatures w14:val="none"/>
        </w:rPr>
        <w:t>Goldilocks</w:t>
      </w:r>
      <w:r w:rsidR="00F25D04">
        <w:rPr>
          <w:rFonts w:eastAsia="Times New Roman" w:cstheme="minorHAnsi"/>
          <w:kern w:val="0"/>
          <w:lang w:eastAsia="it-IT"/>
          <w14:ligatures w14:val="none"/>
        </w:rPr>
        <w:t>”</w:t>
      </w:r>
      <w:r w:rsidRPr="00327191">
        <w:rPr>
          <w:rFonts w:eastAsia="Times New Roman" w:cstheme="minorHAnsi"/>
          <w:kern w:val="0"/>
          <w:lang w:eastAsia="it-IT"/>
          <w14:ligatures w14:val="none"/>
        </w:rPr>
        <w:t xml:space="preserve">. Pur non trovandoci in una situazione </w:t>
      </w:r>
      <w:r w:rsidR="00F25D04">
        <w:rPr>
          <w:rFonts w:eastAsia="Times New Roman" w:cstheme="minorHAnsi"/>
          <w:kern w:val="0"/>
          <w:lang w:eastAsia="it-IT"/>
          <w14:ligatures w14:val="none"/>
        </w:rPr>
        <w:t>fuori dall’ordinario</w:t>
      </w:r>
      <w:r w:rsidRPr="00327191">
        <w:rPr>
          <w:rFonts w:eastAsia="Times New Roman" w:cstheme="minorHAnsi"/>
          <w:kern w:val="0"/>
          <w:lang w:eastAsia="it-IT"/>
          <w14:ligatures w14:val="none"/>
        </w:rPr>
        <w:t xml:space="preserve">, riconosciamo che il meccanismo di trasmissione delle policy non ha una tempistica definita. La resilienza dei consumatori è stata finora una delle caratteristiche più sorprendenti di questo ciclo. Tuttavia, </w:t>
      </w:r>
      <w:r w:rsidRPr="0025044E">
        <w:rPr>
          <w:rFonts w:eastAsia="Times New Roman" w:cstheme="minorHAnsi"/>
          <w:b/>
          <w:bCs/>
          <w:kern w:val="0"/>
          <w:lang w:eastAsia="it-IT"/>
          <w14:ligatures w14:val="none"/>
        </w:rPr>
        <w:t xml:space="preserve">all'orizzonte, si profilano delle difficoltà, tra cui il ribasso dei risparmi in eccesso, la ripresa dei pagamenti dei prestiti agli studenti, l'aumento dei saldi delle carte di credito </w:t>
      </w:r>
      <w:r w:rsidRPr="00BC0A34">
        <w:rPr>
          <w:rFonts w:eastAsia="Times New Roman" w:cstheme="minorHAnsi"/>
          <w:kern w:val="0"/>
          <w:lang w:eastAsia="it-IT"/>
          <w14:ligatures w14:val="none"/>
        </w:rPr>
        <w:t>e il conseguente incremento di morosità e storn</w:t>
      </w:r>
      <w:r w:rsidRPr="00327191">
        <w:rPr>
          <w:rFonts w:eastAsia="Times New Roman" w:cstheme="minorHAnsi"/>
          <w:kern w:val="0"/>
          <w:lang w:eastAsia="it-IT"/>
          <w14:ligatures w14:val="none"/>
        </w:rPr>
        <w:t xml:space="preserve">i. </w:t>
      </w:r>
    </w:p>
    <w:p w14:paraId="6F1A68EE" w14:textId="77777777" w:rsidR="002912ED" w:rsidRDefault="002912ED" w:rsidP="00327191">
      <w:pPr>
        <w:shd w:val="clear" w:color="auto" w:fill="FFFFFF"/>
        <w:spacing w:after="0" w:line="240" w:lineRule="auto"/>
        <w:rPr>
          <w:rFonts w:eastAsia="Times New Roman" w:cstheme="minorHAnsi"/>
          <w:kern w:val="0"/>
          <w:lang w:eastAsia="it-IT"/>
          <w14:ligatures w14:val="none"/>
        </w:rPr>
      </w:pPr>
    </w:p>
    <w:p w14:paraId="16453B3D" w14:textId="6DEC0698" w:rsidR="00327191" w:rsidRDefault="00327191" w:rsidP="00327191">
      <w:pPr>
        <w:shd w:val="clear" w:color="auto" w:fill="FFFFFF"/>
        <w:spacing w:after="0" w:line="240" w:lineRule="auto"/>
        <w:rPr>
          <w:rFonts w:eastAsia="Times New Roman" w:cstheme="minorHAnsi"/>
          <w:kern w:val="0"/>
          <w:lang w:eastAsia="it-IT"/>
          <w14:ligatures w14:val="none"/>
        </w:rPr>
      </w:pPr>
      <w:r w:rsidRPr="00327191">
        <w:rPr>
          <w:rFonts w:eastAsia="Times New Roman" w:cstheme="minorHAnsi"/>
          <w:kern w:val="0"/>
          <w:lang w:eastAsia="it-IT"/>
          <w14:ligatures w14:val="none"/>
        </w:rPr>
        <w:t xml:space="preserve">Inoltre, </w:t>
      </w:r>
      <w:r w:rsidRPr="0025044E">
        <w:rPr>
          <w:rFonts w:eastAsia="Times New Roman" w:cstheme="minorHAnsi"/>
          <w:b/>
          <w:bCs/>
          <w:kern w:val="0"/>
          <w:lang w:eastAsia="it-IT"/>
          <w14:ligatures w14:val="none"/>
        </w:rPr>
        <w:t>i fondamentali del credito corporate si sono indeboliti, in contrasto con la traiettoria ascendente dei rating</w:t>
      </w:r>
      <w:r w:rsidRPr="00327191">
        <w:rPr>
          <w:rFonts w:eastAsia="Times New Roman" w:cstheme="minorHAnsi"/>
          <w:kern w:val="0"/>
          <w:lang w:eastAsia="it-IT"/>
          <w14:ligatures w14:val="none"/>
        </w:rPr>
        <w:t xml:space="preserve">, poiché le pressioni sui margini e i maggiori costi di finanziamento hanno avuto un impatto negativo sui parametri. Ciò non </w:t>
      </w:r>
      <w:r w:rsidR="00F250AB">
        <w:rPr>
          <w:rFonts w:eastAsia="Times New Roman" w:cstheme="minorHAnsi"/>
          <w:kern w:val="0"/>
          <w:lang w:eastAsia="it-IT"/>
          <w14:ligatures w14:val="none"/>
        </w:rPr>
        <w:t>significa</w:t>
      </w:r>
      <w:r w:rsidRPr="00327191">
        <w:rPr>
          <w:rFonts w:eastAsia="Times New Roman" w:cstheme="minorHAnsi"/>
          <w:kern w:val="0"/>
          <w:lang w:eastAsia="it-IT"/>
          <w14:ligatures w14:val="none"/>
        </w:rPr>
        <w:t xml:space="preserve"> che </w:t>
      </w:r>
      <w:r w:rsidR="00F250AB">
        <w:rPr>
          <w:rFonts w:eastAsia="Times New Roman" w:cstheme="minorHAnsi"/>
          <w:kern w:val="0"/>
          <w:lang w:eastAsia="it-IT"/>
          <w14:ligatures w14:val="none"/>
        </w:rPr>
        <w:t>si veda</w:t>
      </w:r>
      <w:r w:rsidRPr="00327191">
        <w:rPr>
          <w:rFonts w:eastAsia="Times New Roman" w:cstheme="minorHAnsi"/>
          <w:kern w:val="0"/>
          <w:lang w:eastAsia="it-IT"/>
          <w14:ligatures w14:val="none"/>
        </w:rPr>
        <w:t xml:space="preserve"> all’orizzonte un forte peggioramento dei bilanci aziendali ma, come abbiamo appreso dall'inizio del ciclo di rialzi dei tassi, </w:t>
      </w:r>
      <w:r w:rsidRPr="0025044E">
        <w:rPr>
          <w:rFonts w:eastAsia="Times New Roman" w:cstheme="minorHAnsi"/>
          <w:b/>
          <w:bCs/>
          <w:kern w:val="0"/>
          <w:lang w:eastAsia="it-IT"/>
          <w14:ligatures w14:val="none"/>
        </w:rPr>
        <w:t>le conseguenze di una stretta monetaria aggressiva sono imprev</w:t>
      </w:r>
      <w:r w:rsidR="00F250AB">
        <w:rPr>
          <w:rFonts w:eastAsia="Times New Roman" w:cstheme="minorHAnsi"/>
          <w:b/>
          <w:bCs/>
          <w:kern w:val="0"/>
          <w:lang w:eastAsia="it-IT"/>
          <w14:ligatures w14:val="none"/>
        </w:rPr>
        <w:t>edibili</w:t>
      </w:r>
      <w:r w:rsidRPr="00327191">
        <w:rPr>
          <w:rFonts w:eastAsia="Times New Roman" w:cstheme="minorHAnsi"/>
          <w:kern w:val="0"/>
          <w:lang w:eastAsia="it-IT"/>
          <w14:ligatures w14:val="none"/>
        </w:rPr>
        <w:t>.</w:t>
      </w:r>
    </w:p>
    <w:p w14:paraId="70BF9CDE" w14:textId="77777777" w:rsidR="00BC0A34" w:rsidRPr="00327191" w:rsidRDefault="00BC0A34" w:rsidP="00327191">
      <w:pPr>
        <w:shd w:val="clear" w:color="auto" w:fill="FFFFFF"/>
        <w:spacing w:after="0" w:line="240" w:lineRule="auto"/>
        <w:rPr>
          <w:rFonts w:eastAsia="Times New Roman" w:cstheme="minorHAnsi"/>
          <w:kern w:val="0"/>
          <w:lang w:eastAsia="it-IT"/>
          <w14:ligatures w14:val="none"/>
        </w:rPr>
      </w:pPr>
    </w:p>
    <w:p w14:paraId="48DCE01C" w14:textId="2C95342D" w:rsidR="00BC0A34" w:rsidRPr="0025044E" w:rsidRDefault="00BC0A34" w:rsidP="00327191">
      <w:pPr>
        <w:shd w:val="clear" w:color="auto" w:fill="FFFFFF"/>
        <w:spacing w:after="0" w:line="240" w:lineRule="auto"/>
        <w:rPr>
          <w:rFonts w:eastAsia="Times New Roman" w:cstheme="minorHAnsi"/>
          <w:kern w:val="0"/>
          <w:u w:val="single"/>
          <w:lang w:eastAsia="it-IT"/>
          <w14:ligatures w14:val="none"/>
        </w:rPr>
      </w:pPr>
      <w:r w:rsidRPr="0025044E">
        <w:rPr>
          <w:rFonts w:eastAsia="Times New Roman" w:cstheme="minorHAnsi"/>
          <w:kern w:val="0"/>
          <w:u w:val="single"/>
          <w:lang w:eastAsia="it-IT"/>
          <w14:ligatures w14:val="none"/>
        </w:rPr>
        <w:t>Valutazioni poco convincenti</w:t>
      </w:r>
    </w:p>
    <w:p w14:paraId="2586CD0F" w14:textId="6EA9FA9C" w:rsidR="0011260B" w:rsidRDefault="0011260B" w:rsidP="002E68F9">
      <w:pPr>
        <w:shd w:val="clear" w:color="auto" w:fill="FFFFFF"/>
        <w:spacing w:after="0" w:line="240" w:lineRule="auto"/>
        <w:rPr>
          <w:rFonts w:eastAsia="Times New Roman" w:cstheme="minorHAnsi"/>
          <w:kern w:val="0"/>
          <w:lang w:eastAsia="it-IT"/>
          <w14:ligatures w14:val="none"/>
        </w:rPr>
      </w:pPr>
      <w:r w:rsidRPr="00327191">
        <w:rPr>
          <w:rFonts w:eastAsia="Times New Roman" w:cstheme="minorHAnsi"/>
          <w:kern w:val="0"/>
          <w:lang w:eastAsia="it-IT"/>
          <w14:ligatures w14:val="none"/>
        </w:rPr>
        <w:t>Il mercato del credito I</w:t>
      </w:r>
      <w:r w:rsidR="00F250AB">
        <w:rPr>
          <w:rFonts w:eastAsia="Times New Roman" w:cstheme="minorHAnsi"/>
          <w:kern w:val="0"/>
          <w:lang w:eastAsia="it-IT"/>
          <w14:ligatures w14:val="none"/>
        </w:rPr>
        <w:t xml:space="preserve">nvestment </w:t>
      </w:r>
      <w:r w:rsidRPr="00327191">
        <w:rPr>
          <w:rFonts w:eastAsia="Times New Roman" w:cstheme="minorHAnsi"/>
          <w:kern w:val="0"/>
          <w:lang w:eastAsia="it-IT"/>
          <w14:ligatures w14:val="none"/>
        </w:rPr>
        <w:t>G</w:t>
      </w:r>
      <w:r w:rsidR="00F250AB">
        <w:rPr>
          <w:rFonts w:eastAsia="Times New Roman" w:cstheme="minorHAnsi"/>
          <w:kern w:val="0"/>
          <w:lang w:eastAsia="it-IT"/>
          <w14:ligatures w14:val="none"/>
        </w:rPr>
        <w:t>rade</w:t>
      </w:r>
      <w:r w:rsidRPr="00327191">
        <w:rPr>
          <w:rFonts w:eastAsia="Times New Roman" w:cstheme="minorHAnsi"/>
          <w:kern w:val="0"/>
          <w:lang w:eastAsia="it-IT"/>
          <w14:ligatures w14:val="none"/>
        </w:rPr>
        <w:t xml:space="preserve"> ha messo a segno un impressionante rally a novembre, stabilendo un nuovo minimo degli spread</w:t>
      </w:r>
      <w:r>
        <w:rPr>
          <w:rFonts w:eastAsia="Times New Roman" w:cstheme="minorHAnsi"/>
          <w:kern w:val="0"/>
          <w:lang w:eastAsia="it-IT"/>
          <w14:ligatures w14:val="none"/>
        </w:rPr>
        <w:t xml:space="preserve"> da inizio anno</w:t>
      </w:r>
      <w:r w:rsidRPr="00327191">
        <w:rPr>
          <w:rFonts w:eastAsia="Times New Roman" w:cstheme="minorHAnsi"/>
          <w:kern w:val="0"/>
          <w:lang w:eastAsia="it-IT"/>
          <w14:ligatures w14:val="none"/>
        </w:rPr>
        <w:t>, determinando un’inversione di quello che sarebbe stato il terzo anno consecutivo di rendimenti totali negativi. Da inizio anno</w:t>
      </w:r>
      <w:r w:rsidRPr="00F250AB">
        <w:rPr>
          <w:rFonts w:eastAsia="Times New Roman" w:cstheme="minorHAnsi"/>
          <w:kern w:val="0"/>
          <w:lang w:eastAsia="it-IT"/>
          <w14:ligatures w14:val="none"/>
        </w:rPr>
        <w:t>,</w:t>
      </w:r>
      <w:r w:rsidRPr="0025044E">
        <w:rPr>
          <w:rFonts w:eastAsia="Times New Roman" w:cstheme="minorHAnsi"/>
          <w:b/>
          <w:bCs/>
          <w:kern w:val="0"/>
          <w:lang w:eastAsia="it-IT"/>
          <w14:ligatures w14:val="none"/>
        </w:rPr>
        <w:t xml:space="preserve"> il rendimento totale dell'IG Credit Index è passato definitivamente in positivo</w:t>
      </w:r>
      <w:r w:rsidR="009750EB">
        <w:rPr>
          <w:rFonts w:eastAsia="Times New Roman" w:cstheme="minorHAnsi"/>
          <w:b/>
          <w:bCs/>
          <w:kern w:val="0"/>
          <w:lang w:eastAsia="it-IT"/>
          <w14:ligatures w14:val="none"/>
        </w:rPr>
        <w:t xml:space="preserve"> </w:t>
      </w:r>
      <w:r w:rsidRPr="0025044E">
        <w:rPr>
          <w:rFonts w:eastAsia="Times New Roman" w:cstheme="minorHAnsi"/>
          <w:b/>
          <w:bCs/>
          <w:kern w:val="0"/>
          <w:lang w:eastAsia="it-IT"/>
          <w14:ligatures w14:val="none"/>
        </w:rPr>
        <w:t>(+3,83%). I titoli BBB hanno sovraperformato</w:t>
      </w:r>
      <w:r w:rsidRPr="00327191">
        <w:rPr>
          <w:rFonts w:eastAsia="Times New Roman" w:cstheme="minorHAnsi"/>
          <w:kern w:val="0"/>
          <w:lang w:eastAsia="it-IT"/>
          <w14:ligatures w14:val="none"/>
        </w:rPr>
        <w:t>, grazie al ridimensionamento del beta, che è rimasto un tema per tutto il mese.</w:t>
      </w:r>
      <w:r>
        <w:rPr>
          <w:rFonts w:eastAsia="Times New Roman" w:cstheme="minorHAnsi"/>
          <w:kern w:val="0"/>
          <w:lang w:eastAsia="it-IT"/>
          <w14:ligatures w14:val="none"/>
        </w:rPr>
        <w:t xml:space="preserve"> </w:t>
      </w:r>
      <w:r w:rsidR="00327191" w:rsidRPr="00327191">
        <w:rPr>
          <w:rFonts w:eastAsia="Times New Roman" w:cstheme="minorHAnsi"/>
          <w:kern w:val="0"/>
          <w:lang w:eastAsia="it-IT"/>
          <w14:ligatures w14:val="none"/>
        </w:rPr>
        <w:t>Dopo l'ultimo rally, gli spread del credito I</w:t>
      </w:r>
      <w:r w:rsidR="00F250AB">
        <w:rPr>
          <w:rFonts w:eastAsia="Times New Roman" w:cstheme="minorHAnsi"/>
          <w:kern w:val="0"/>
          <w:lang w:eastAsia="it-IT"/>
          <w14:ligatures w14:val="none"/>
        </w:rPr>
        <w:t xml:space="preserve">nvestment </w:t>
      </w:r>
      <w:r w:rsidR="00327191" w:rsidRPr="00327191">
        <w:rPr>
          <w:rFonts w:eastAsia="Times New Roman" w:cstheme="minorHAnsi"/>
          <w:kern w:val="0"/>
          <w:lang w:eastAsia="it-IT"/>
          <w14:ligatures w14:val="none"/>
        </w:rPr>
        <w:t>G</w:t>
      </w:r>
      <w:r w:rsidR="00F250AB">
        <w:rPr>
          <w:rFonts w:eastAsia="Times New Roman" w:cstheme="minorHAnsi"/>
          <w:kern w:val="0"/>
          <w:lang w:eastAsia="it-IT"/>
          <w14:ligatures w14:val="none"/>
        </w:rPr>
        <w:t>rade</w:t>
      </w:r>
      <w:r w:rsidR="00327191" w:rsidRPr="00327191">
        <w:rPr>
          <w:rFonts w:eastAsia="Times New Roman" w:cstheme="minorHAnsi"/>
          <w:kern w:val="0"/>
          <w:lang w:eastAsia="it-IT"/>
          <w14:ligatures w14:val="none"/>
        </w:rPr>
        <w:t>, pari a +97 punti base rispetto ai Treasury, sono a soli 20 p</w:t>
      </w:r>
      <w:r w:rsidR="0030358D">
        <w:rPr>
          <w:rFonts w:eastAsia="Times New Roman" w:cstheme="minorHAnsi"/>
          <w:kern w:val="0"/>
          <w:lang w:eastAsia="it-IT"/>
          <w14:ligatures w14:val="none"/>
        </w:rPr>
        <w:t>unti base</w:t>
      </w:r>
      <w:r w:rsidR="00327191" w:rsidRPr="00327191">
        <w:rPr>
          <w:rFonts w:eastAsia="Times New Roman" w:cstheme="minorHAnsi"/>
          <w:kern w:val="0"/>
          <w:lang w:eastAsia="it-IT"/>
          <w14:ligatures w14:val="none"/>
        </w:rPr>
        <w:t xml:space="preserve"> dai ristretti livelli raggiunti nel 2021. </w:t>
      </w:r>
    </w:p>
    <w:p w14:paraId="1105FF74" w14:textId="77777777" w:rsidR="0011260B" w:rsidRDefault="0011260B" w:rsidP="002E68F9">
      <w:pPr>
        <w:shd w:val="clear" w:color="auto" w:fill="FFFFFF"/>
        <w:spacing w:after="0" w:line="240" w:lineRule="auto"/>
        <w:rPr>
          <w:rFonts w:eastAsia="Times New Roman" w:cstheme="minorHAnsi"/>
          <w:kern w:val="0"/>
          <w:lang w:eastAsia="it-IT"/>
          <w14:ligatures w14:val="none"/>
        </w:rPr>
      </w:pPr>
    </w:p>
    <w:p w14:paraId="388BDC60" w14:textId="2DE7C2F7" w:rsidR="002E68F9" w:rsidRPr="00327191" w:rsidRDefault="00327191" w:rsidP="002E68F9">
      <w:pPr>
        <w:shd w:val="clear" w:color="auto" w:fill="FFFFFF"/>
        <w:spacing w:after="0" w:line="240" w:lineRule="auto"/>
        <w:rPr>
          <w:rFonts w:eastAsia="Times New Roman" w:cstheme="minorHAnsi"/>
          <w:kern w:val="0"/>
          <w:lang w:eastAsia="it-IT"/>
          <w14:ligatures w14:val="none"/>
        </w:rPr>
      </w:pPr>
      <w:r w:rsidRPr="00327191">
        <w:rPr>
          <w:rFonts w:eastAsia="Times New Roman" w:cstheme="minorHAnsi"/>
          <w:kern w:val="0"/>
          <w:lang w:eastAsia="it-IT"/>
          <w14:ligatures w14:val="none"/>
        </w:rPr>
        <w:t xml:space="preserve">A nostro avviso, </w:t>
      </w:r>
      <w:r w:rsidRPr="0025044E">
        <w:rPr>
          <w:rFonts w:eastAsia="Times New Roman" w:cstheme="minorHAnsi"/>
          <w:b/>
          <w:bCs/>
          <w:kern w:val="0"/>
          <w:lang w:eastAsia="it-IT"/>
          <w14:ligatures w14:val="none"/>
        </w:rPr>
        <w:t>le valutazioni non sono convincenti</w:t>
      </w:r>
      <w:r w:rsidRPr="00327191">
        <w:rPr>
          <w:rFonts w:eastAsia="Times New Roman" w:cstheme="minorHAnsi"/>
          <w:kern w:val="0"/>
          <w:lang w:eastAsia="it-IT"/>
          <w14:ligatures w14:val="none"/>
        </w:rPr>
        <w:t xml:space="preserve">, considerati i risultati asimmetrici a fronte dell’avvicinamento degli spread al loro minimo. </w:t>
      </w:r>
      <w:r w:rsidRPr="0025044E">
        <w:rPr>
          <w:rFonts w:eastAsia="Times New Roman" w:cstheme="minorHAnsi"/>
          <w:b/>
          <w:bCs/>
          <w:kern w:val="0"/>
          <w:lang w:eastAsia="it-IT"/>
          <w14:ligatures w14:val="none"/>
        </w:rPr>
        <w:t>Sebbene permangano opportunità idiosincratiche, è opportuno continuare a ridurre il rischio</w:t>
      </w:r>
      <w:r w:rsidRPr="00327191">
        <w:rPr>
          <w:rFonts w:eastAsia="Times New Roman" w:cstheme="minorHAnsi"/>
          <w:kern w:val="0"/>
          <w:lang w:eastAsia="it-IT"/>
          <w14:ligatures w14:val="none"/>
        </w:rPr>
        <w:t xml:space="preserve">, </w:t>
      </w:r>
      <w:r w:rsidRPr="0025044E">
        <w:rPr>
          <w:rFonts w:eastAsia="Times New Roman" w:cstheme="minorHAnsi"/>
          <w:b/>
          <w:bCs/>
          <w:kern w:val="0"/>
          <w:lang w:eastAsia="it-IT"/>
          <w14:ligatures w14:val="none"/>
        </w:rPr>
        <w:t>poiché il profilo rischio/rendimento favorisce un approccio difensivo rispetto al posizionamento nel comparto creditizio</w:t>
      </w:r>
      <w:r w:rsidRPr="00327191">
        <w:rPr>
          <w:rFonts w:eastAsia="Times New Roman" w:cstheme="minorHAnsi"/>
          <w:kern w:val="0"/>
          <w:lang w:eastAsia="it-IT"/>
          <w14:ligatures w14:val="none"/>
        </w:rPr>
        <w:t xml:space="preserve">. </w:t>
      </w:r>
      <w:r w:rsidR="00BC0A34">
        <w:rPr>
          <w:rFonts w:eastAsia="Times New Roman" w:cstheme="minorHAnsi"/>
          <w:kern w:val="0"/>
          <w:lang w:eastAsia="it-IT"/>
          <w14:ligatures w14:val="none"/>
        </w:rPr>
        <w:br/>
      </w:r>
      <w:r w:rsidR="0011260B">
        <w:rPr>
          <w:rFonts w:eastAsia="Times New Roman" w:cstheme="minorHAnsi"/>
          <w:kern w:val="0"/>
          <w:lang w:eastAsia="it-IT"/>
          <w14:ligatures w14:val="none"/>
        </w:rPr>
        <w:br/>
      </w:r>
      <w:r w:rsidR="002E68F9" w:rsidRPr="00475068">
        <w:rPr>
          <w:rFonts w:eastAsia="Times New Roman" w:cstheme="minorHAnsi"/>
          <w:kern w:val="0"/>
          <w:u w:val="single"/>
          <w:lang w:eastAsia="it-IT"/>
          <w14:ligatures w14:val="none"/>
        </w:rPr>
        <w:t>L</w:t>
      </w:r>
      <w:r w:rsidR="002E68F9">
        <w:rPr>
          <w:rFonts w:eastAsia="Times New Roman" w:cstheme="minorHAnsi"/>
          <w:kern w:val="0"/>
          <w:u w:val="single"/>
          <w:lang w:eastAsia="it-IT"/>
          <w14:ligatures w14:val="none"/>
        </w:rPr>
        <w:t>a sottoperformance del</w:t>
      </w:r>
      <w:r w:rsidR="002E68F9" w:rsidRPr="00475068">
        <w:rPr>
          <w:rFonts w:eastAsia="Times New Roman" w:cstheme="minorHAnsi"/>
          <w:kern w:val="0"/>
          <w:u w:val="single"/>
          <w:lang w:eastAsia="it-IT"/>
          <w14:ligatures w14:val="none"/>
        </w:rPr>
        <w:t xml:space="preserve"> settore bancario</w:t>
      </w:r>
    </w:p>
    <w:p w14:paraId="54D36F81" w14:textId="58909CE5" w:rsidR="002E68F9" w:rsidRDefault="00327191" w:rsidP="00BC0A34">
      <w:pPr>
        <w:shd w:val="clear" w:color="auto" w:fill="FFFFFF"/>
        <w:spacing w:after="0" w:line="240" w:lineRule="auto"/>
        <w:rPr>
          <w:rFonts w:eastAsia="Times New Roman" w:cstheme="minorHAnsi"/>
          <w:kern w:val="0"/>
          <w:lang w:eastAsia="it-IT"/>
          <w14:ligatures w14:val="none"/>
        </w:rPr>
      </w:pPr>
      <w:r w:rsidRPr="00327191">
        <w:rPr>
          <w:rFonts w:eastAsia="Times New Roman" w:cstheme="minorHAnsi"/>
          <w:kern w:val="0"/>
          <w:lang w:eastAsia="it-IT"/>
          <w14:ligatures w14:val="none"/>
        </w:rPr>
        <w:t>Il settore bancario ha partecipato al rally, pur rimanendo lontano dalla sua media di lungo periodo sia su base assoluta che relativa. Il divario in termini di spread tra le sei grandi banche statunitensi e il più ampio mercato dei titoli I</w:t>
      </w:r>
      <w:r w:rsidR="00F250AB">
        <w:rPr>
          <w:rFonts w:eastAsia="Times New Roman" w:cstheme="minorHAnsi"/>
          <w:kern w:val="0"/>
          <w:lang w:eastAsia="it-IT"/>
          <w14:ligatures w14:val="none"/>
        </w:rPr>
        <w:t xml:space="preserve">nvestment </w:t>
      </w:r>
      <w:r w:rsidRPr="00327191">
        <w:rPr>
          <w:rFonts w:eastAsia="Times New Roman" w:cstheme="minorHAnsi"/>
          <w:kern w:val="0"/>
          <w:lang w:eastAsia="it-IT"/>
          <w14:ligatures w14:val="none"/>
        </w:rPr>
        <w:t>G</w:t>
      </w:r>
      <w:r w:rsidR="00F250AB">
        <w:rPr>
          <w:rFonts w:eastAsia="Times New Roman" w:cstheme="minorHAnsi"/>
          <w:kern w:val="0"/>
          <w:lang w:eastAsia="it-IT"/>
          <w14:ligatures w14:val="none"/>
        </w:rPr>
        <w:t>rade</w:t>
      </w:r>
      <w:r w:rsidRPr="00327191">
        <w:rPr>
          <w:rFonts w:eastAsia="Times New Roman" w:cstheme="minorHAnsi"/>
          <w:kern w:val="0"/>
          <w:lang w:eastAsia="it-IT"/>
          <w14:ligatures w14:val="none"/>
        </w:rPr>
        <w:t xml:space="preserve"> (IG Credit Index), pari a 48 p</w:t>
      </w:r>
      <w:r w:rsidR="0030358D">
        <w:rPr>
          <w:rFonts w:eastAsia="Times New Roman" w:cstheme="minorHAnsi"/>
          <w:kern w:val="0"/>
          <w:lang w:eastAsia="it-IT"/>
          <w14:ligatures w14:val="none"/>
        </w:rPr>
        <w:t>unti base</w:t>
      </w:r>
      <w:r w:rsidRPr="00327191">
        <w:rPr>
          <w:rFonts w:eastAsia="Times New Roman" w:cstheme="minorHAnsi"/>
          <w:kern w:val="0"/>
          <w:lang w:eastAsia="it-IT"/>
          <w14:ligatures w14:val="none"/>
        </w:rPr>
        <w:t xml:space="preserve">, è decisamente più ampio rispetto alle medie storiche. </w:t>
      </w:r>
      <w:r w:rsidRPr="0025044E">
        <w:rPr>
          <w:rFonts w:eastAsia="Times New Roman" w:cstheme="minorHAnsi"/>
          <w:b/>
          <w:bCs/>
          <w:kern w:val="0"/>
          <w:lang w:eastAsia="it-IT"/>
          <w14:ligatures w14:val="none"/>
        </w:rPr>
        <w:t xml:space="preserve">Una parte della sottoperformance può essere attribuita ai residui timori derivanti dai recenti fallimenti di </w:t>
      </w:r>
      <w:r w:rsidR="00F250AB">
        <w:rPr>
          <w:rFonts w:eastAsia="Times New Roman" w:cstheme="minorHAnsi"/>
          <w:b/>
          <w:bCs/>
          <w:kern w:val="0"/>
          <w:lang w:eastAsia="it-IT"/>
          <w14:ligatures w14:val="none"/>
        </w:rPr>
        <w:t xml:space="preserve">alcune </w:t>
      </w:r>
      <w:r w:rsidRPr="0025044E">
        <w:rPr>
          <w:rFonts w:eastAsia="Times New Roman" w:cstheme="minorHAnsi"/>
          <w:b/>
          <w:bCs/>
          <w:kern w:val="0"/>
          <w:lang w:eastAsia="it-IT"/>
          <w14:ligatures w14:val="none"/>
        </w:rPr>
        <w:t xml:space="preserve">banche regionali, nonché alle aspettative di maggiori requisiti patrimoniali </w:t>
      </w:r>
      <w:r w:rsidRPr="00327191">
        <w:rPr>
          <w:rFonts w:eastAsia="Times New Roman" w:cstheme="minorHAnsi"/>
          <w:kern w:val="0"/>
          <w:lang w:eastAsia="it-IT"/>
          <w14:ligatures w14:val="none"/>
        </w:rPr>
        <w:t xml:space="preserve">in seguito alla nuova Basilea III, l'ultima serie di standard internazionali in materia di adeguatezza del capitale e liquidità. Tuttavia, </w:t>
      </w:r>
      <w:r w:rsidRPr="0025044E">
        <w:rPr>
          <w:rFonts w:eastAsia="Times New Roman" w:cstheme="minorHAnsi"/>
          <w:b/>
          <w:bCs/>
          <w:kern w:val="0"/>
          <w:lang w:eastAsia="it-IT"/>
          <w14:ligatures w14:val="none"/>
        </w:rPr>
        <w:t>riteniamo che la divergenza nel rapporto tra spread nel comparto bancario e non bancario sia insostenibile</w:t>
      </w:r>
      <w:r w:rsidRPr="00327191">
        <w:rPr>
          <w:rFonts w:eastAsia="Times New Roman" w:cstheme="minorHAnsi"/>
          <w:kern w:val="0"/>
          <w:lang w:eastAsia="it-IT"/>
          <w14:ligatures w14:val="none"/>
        </w:rPr>
        <w:t xml:space="preserve">. </w:t>
      </w:r>
    </w:p>
    <w:p w14:paraId="4E7EC289" w14:textId="77777777" w:rsidR="002E68F9" w:rsidRDefault="002E68F9" w:rsidP="00BC0A34">
      <w:pPr>
        <w:shd w:val="clear" w:color="auto" w:fill="FFFFFF"/>
        <w:spacing w:after="0" w:line="240" w:lineRule="auto"/>
        <w:rPr>
          <w:rFonts w:eastAsia="Times New Roman" w:cstheme="minorHAnsi"/>
          <w:kern w:val="0"/>
          <w:lang w:eastAsia="it-IT"/>
          <w14:ligatures w14:val="none"/>
        </w:rPr>
      </w:pPr>
    </w:p>
    <w:p w14:paraId="4472B983" w14:textId="2F2F4FDA" w:rsidR="00BC0A34" w:rsidRPr="00BE7AB7" w:rsidRDefault="00327191" w:rsidP="00BC0A34">
      <w:pPr>
        <w:shd w:val="clear" w:color="auto" w:fill="FFFFFF"/>
        <w:spacing w:after="0" w:line="240" w:lineRule="auto"/>
        <w:rPr>
          <w:rFonts w:eastAsia="Times New Roman" w:cstheme="minorHAnsi"/>
          <w:kern w:val="0"/>
          <w:lang w:eastAsia="it-IT"/>
          <w14:ligatures w14:val="none"/>
        </w:rPr>
      </w:pPr>
      <w:r w:rsidRPr="00327191">
        <w:rPr>
          <w:rFonts w:eastAsia="Times New Roman" w:cstheme="minorHAnsi"/>
          <w:kern w:val="0"/>
          <w:lang w:eastAsia="it-IT"/>
          <w14:ligatures w14:val="none"/>
        </w:rPr>
        <w:t>L’impatto sui consumatori d</w:t>
      </w:r>
      <w:r w:rsidR="00D1295F">
        <w:rPr>
          <w:rFonts w:eastAsia="Times New Roman" w:cstheme="minorHAnsi"/>
          <w:kern w:val="0"/>
          <w:lang w:eastAsia="it-IT"/>
          <w14:ligatures w14:val="none"/>
        </w:rPr>
        <w:t>ell’</w:t>
      </w:r>
      <w:r w:rsidRPr="00327191">
        <w:rPr>
          <w:rFonts w:eastAsia="Times New Roman" w:cstheme="minorHAnsi"/>
          <w:kern w:val="0"/>
          <w:lang w:eastAsia="it-IT"/>
          <w14:ligatures w14:val="none"/>
        </w:rPr>
        <w:t xml:space="preserve">inasprimento delle condizioni finanziarie, </w:t>
      </w:r>
      <w:r w:rsidR="00D1295F">
        <w:rPr>
          <w:rFonts w:eastAsia="Times New Roman" w:cstheme="minorHAnsi"/>
          <w:kern w:val="0"/>
          <w:lang w:eastAsia="it-IT"/>
          <w14:ligatures w14:val="none"/>
        </w:rPr>
        <w:t>l’</w:t>
      </w:r>
      <w:r w:rsidRPr="00327191">
        <w:rPr>
          <w:rFonts w:eastAsia="Times New Roman" w:cstheme="minorHAnsi"/>
          <w:kern w:val="0"/>
          <w:lang w:eastAsia="it-IT"/>
          <w14:ligatures w14:val="none"/>
        </w:rPr>
        <w:t xml:space="preserve">esaurimento dei risparmi in eccesso e </w:t>
      </w:r>
      <w:r w:rsidR="00D1295F">
        <w:rPr>
          <w:rFonts w:eastAsia="Times New Roman" w:cstheme="minorHAnsi"/>
          <w:kern w:val="0"/>
          <w:lang w:eastAsia="it-IT"/>
          <w14:ligatures w14:val="none"/>
        </w:rPr>
        <w:t xml:space="preserve">la </w:t>
      </w:r>
      <w:r w:rsidRPr="00327191">
        <w:rPr>
          <w:rFonts w:eastAsia="Times New Roman" w:cstheme="minorHAnsi"/>
          <w:kern w:val="0"/>
          <w:lang w:eastAsia="it-IT"/>
          <w14:ligatures w14:val="none"/>
        </w:rPr>
        <w:t>ripresa dei pagamenti dei prestiti per gli studenti determiner</w:t>
      </w:r>
      <w:r w:rsidR="00D1295F">
        <w:rPr>
          <w:rFonts w:eastAsia="Times New Roman" w:cstheme="minorHAnsi"/>
          <w:kern w:val="0"/>
          <w:lang w:eastAsia="it-IT"/>
          <w14:ligatures w14:val="none"/>
        </w:rPr>
        <w:t>anno</w:t>
      </w:r>
      <w:r w:rsidRPr="00327191">
        <w:rPr>
          <w:rFonts w:eastAsia="Times New Roman" w:cstheme="minorHAnsi"/>
          <w:kern w:val="0"/>
          <w:lang w:eastAsia="it-IT"/>
          <w14:ligatures w14:val="none"/>
        </w:rPr>
        <w:t xml:space="preserve"> delle ricadute sull'economia </w:t>
      </w:r>
      <w:r w:rsidRPr="00327191">
        <w:rPr>
          <w:rFonts w:eastAsia="Times New Roman" w:cstheme="minorHAnsi"/>
          <w:kern w:val="0"/>
          <w:lang w:eastAsia="it-IT"/>
          <w14:ligatures w14:val="none"/>
        </w:rPr>
        <w:lastRenderedPageBreak/>
        <w:t xml:space="preserve">in generale di ampia portata. </w:t>
      </w:r>
      <w:r w:rsidRPr="0025044E">
        <w:rPr>
          <w:rFonts w:eastAsia="Times New Roman" w:cstheme="minorHAnsi"/>
          <w:b/>
          <w:bCs/>
          <w:kern w:val="0"/>
          <w:lang w:eastAsia="it-IT"/>
          <w14:ligatures w14:val="none"/>
        </w:rPr>
        <w:t xml:space="preserve">La disparità tra gli spread bancari e il resto del mercato lascia presagire un'inversione del ciclo, ma a ciò dovrebbe far seguito una più ampia correzione </w:t>
      </w:r>
      <w:r w:rsidR="0030358D" w:rsidRPr="0030358D">
        <w:rPr>
          <w:rFonts w:eastAsia="Times New Roman" w:cstheme="minorHAnsi"/>
          <w:b/>
          <w:bCs/>
          <w:kern w:val="0"/>
          <w:lang w:eastAsia="it-IT"/>
          <w14:ligatures w14:val="none"/>
        </w:rPr>
        <w:t>delle valutazioni creditizie nel comparto I</w:t>
      </w:r>
      <w:r w:rsidR="00F250AB">
        <w:rPr>
          <w:rFonts w:eastAsia="Times New Roman" w:cstheme="minorHAnsi"/>
          <w:b/>
          <w:bCs/>
          <w:kern w:val="0"/>
          <w:lang w:eastAsia="it-IT"/>
          <w14:ligatures w14:val="none"/>
        </w:rPr>
        <w:t xml:space="preserve">nvestment </w:t>
      </w:r>
      <w:r w:rsidR="0030358D" w:rsidRPr="0030358D">
        <w:rPr>
          <w:rFonts w:eastAsia="Times New Roman" w:cstheme="minorHAnsi"/>
          <w:b/>
          <w:bCs/>
          <w:kern w:val="0"/>
          <w:lang w:eastAsia="it-IT"/>
          <w14:ligatures w14:val="none"/>
        </w:rPr>
        <w:t>G</w:t>
      </w:r>
      <w:r w:rsidR="00F250AB">
        <w:rPr>
          <w:rFonts w:eastAsia="Times New Roman" w:cstheme="minorHAnsi"/>
          <w:b/>
          <w:bCs/>
          <w:kern w:val="0"/>
          <w:lang w:eastAsia="it-IT"/>
          <w14:ligatures w14:val="none"/>
        </w:rPr>
        <w:t>rade</w:t>
      </w:r>
      <w:r w:rsidRPr="0025044E">
        <w:rPr>
          <w:rFonts w:eastAsia="Times New Roman" w:cstheme="minorHAnsi"/>
          <w:b/>
          <w:bCs/>
          <w:kern w:val="0"/>
          <w:lang w:eastAsia="it-IT"/>
          <w14:ligatures w14:val="none"/>
        </w:rPr>
        <w:t xml:space="preserve">, </w:t>
      </w:r>
      <w:r w:rsidRPr="00BE7AB7">
        <w:rPr>
          <w:rFonts w:eastAsia="Times New Roman" w:cstheme="minorHAnsi"/>
          <w:kern w:val="0"/>
          <w:lang w:eastAsia="it-IT"/>
          <w14:ligatures w14:val="none"/>
        </w:rPr>
        <w:t>anche per le categorie più sensibili alla domanda ciclica</w:t>
      </w:r>
      <w:r w:rsidR="00BC0A34" w:rsidRPr="00BE7AB7">
        <w:rPr>
          <w:rFonts w:eastAsia="Times New Roman" w:cstheme="minorHAnsi"/>
          <w:kern w:val="0"/>
          <w:lang w:eastAsia="it-IT"/>
          <w14:ligatures w14:val="none"/>
        </w:rPr>
        <w:t xml:space="preserve">, </w:t>
      </w:r>
      <w:r w:rsidRPr="00BE7AB7">
        <w:rPr>
          <w:rFonts w:eastAsia="Times New Roman" w:cstheme="minorHAnsi"/>
          <w:kern w:val="0"/>
          <w:lang w:eastAsia="it-IT"/>
          <w14:ligatures w14:val="none"/>
        </w:rPr>
        <w:t>come materie prime e automobili.</w:t>
      </w:r>
    </w:p>
    <w:p w14:paraId="699C9E1F" w14:textId="77777777" w:rsidR="00BC0A34" w:rsidRDefault="00BC0A34" w:rsidP="00BC0A34">
      <w:pPr>
        <w:shd w:val="clear" w:color="auto" w:fill="FFFFFF"/>
        <w:spacing w:after="0" w:line="240" w:lineRule="auto"/>
        <w:rPr>
          <w:rFonts w:eastAsia="Times New Roman" w:cstheme="minorHAnsi"/>
          <w:kern w:val="0"/>
          <w:lang w:eastAsia="it-IT"/>
          <w14:ligatures w14:val="none"/>
        </w:rPr>
      </w:pPr>
    </w:p>
    <w:p w14:paraId="433F1F76" w14:textId="49AE6CED" w:rsidR="00327191" w:rsidRPr="00327191" w:rsidRDefault="00B07A31" w:rsidP="00BC0A34">
      <w:pPr>
        <w:shd w:val="clear" w:color="auto" w:fill="FFFFFF"/>
        <w:spacing w:after="0" w:line="240" w:lineRule="auto"/>
        <w:rPr>
          <w:rFonts w:eastAsia="Times New Roman" w:cstheme="minorHAnsi"/>
          <w:kern w:val="0"/>
          <w:lang w:eastAsia="it-IT"/>
          <w14:ligatures w14:val="none"/>
        </w:rPr>
      </w:pPr>
      <w:r w:rsidRPr="00327191">
        <w:rPr>
          <w:rFonts w:eastAsia="Times New Roman" w:cstheme="minorHAnsi"/>
          <w:kern w:val="0"/>
          <w:lang w:eastAsia="it-IT"/>
          <w14:ligatures w14:val="none"/>
        </w:rPr>
        <w:t>La quota relativa di emissioni può, almeno in parte, contribuire a spiegare la sottoperformance del settore bancario rispetto al resto del mercato dei titoli I</w:t>
      </w:r>
      <w:r w:rsidR="00F250AB">
        <w:rPr>
          <w:rFonts w:eastAsia="Times New Roman" w:cstheme="minorHAnsi"/>
          <w:kern w:val="0"/>
          <w:lang w:eastAsia="it-IT"/>
          <w14:ligatures w14:val="none"/>
        </w:rPr>
        <w:t xml:space="preserve">nvestment </w:t>
      </w:r>
      <w:r w:rsidRPr="00327191">
        <w:rPr>
          <w:rFonts w:eastAsia="Times New Roman" w:cstheme="minorHAnsi"/>
          <w:kern w:val="0"/>
          <w:lang w:eastAsia="it-IT"/>
          <w14:ligatures w14:val="none"/>
        </w:rPr>
        <w:t>G</w:t>
      </w:r>
      <w:r w:rsidR="00F250AB">
        <w:rPr>
          <w:rFonts w:eastAsia="Times New Roman" w:cstheme="minorHAnsi"/>
          <w:kern w:val="0"/>
          <w:lang w:eastAsia="it-IT"/>
          <w14:ligatures w14:val="none"/>
        </w:rPr>
        <w:t>rade</w:t>
      </w:r>
      <w:r w:rsidRPr="00327191">
        <w:rPr>
          <w:rFonts w:eastAsia="Times New Roman" w:cstheme="minorHAnsi"/>
          <w:kern w:val="0"/>
          <w:lang w:eastAsia="it-IT"/>
          <w14:ligatures w14:val="none"/>
        </w:rPr>
        <w:t>.</w:t>
      </w:r>
      <w:r>
        <w:rPr>
          <w:rFonts w:eastAsia="Times New Roman" w:cstheme="minorHAnsi"/>
          <w:kern w:val="0"/>
          <w:lang w:eastAsia="it-IT"/>
          <w14:ligatures w14:val="none"/>
        </w:rPr>
        <w:t xml:space="preserve"> </w:t>
      </w:r>
      <w:r w:rsidR="00327191" w:rsidRPr="00327191">
        <w:rPr>
          <w:rFonts w:eastAsia="Times New Roman" w:cstheme="minorHAnsi"/>
          <w:kern w:val="0"/>
          <w:lang w:eastAsia="it-IT"/>
          <w14:ligatures w14:val="none"/>
        </w:rPr>
        <w:t xml:space="preserve">Su base annua, le emissioni bancarie, pari a 393 miliardi di </w:t>
      </w:r>
      <w:r w:rsidR="00BC0A34">
        <w:rPr>
          <w:rFonts w:eastAsia="Times New Roman" w:cstheme="minorHAnsi"/>
          <w:kern w:val="0"/>
          <w:lang w:eastAsia="it-IT"/>
          <w14:ligatures w14:val="none"/>
        </w:rPr>
        <w:t>dollari</w:t>
      </w:r>
      <w:r w:rsidR="00327191" w:rsidRPr="00327191">
        <w:rPr>
          <w:rFonts w:eastAsia="Times New Roman" w:cstheme="minorHAnsi"/>
          <w:kern w:val="0"/>
          <w:lang w:eastAsia="it-IT"/>
          <w14:ligatures w14:val="none"/>
        </w:rPr>
        <w:t xml:space="preserve">, sono in calo del 17% rispetto allo stesso periodo del 2022. Le emissioni annuali delle sei grandi banche d’affari statunitensi, </w:t>
      </w:r>
      <w:r w:rsidR="00D1295F">
        <w:rPr>
          <w:rFonts w:eastAsia="Times New Roman" w:cstheme="minorHAnsi"/>
          <w:kern w:val="0"/>
          <w:lang w:eastAsia="it-IT"/>
          <w14:ligatures w14:val="none"/>
        </w:rPr>
        <w:t xml:space="preserve">a </w:t>
      </w:r>
      <w:r w:rsidR="00327191" w:rsidRPr="00327191">
        <w:rPr>
          <w:rFonts w:eastAsia="Times New Roman" w:cstheme="minorHAnsi"/>
          <w:kern w:val="0"/>
          <w:lang w:eastAsia="it-IT"/>
          <w14:ligatures w14:val="none"/>
        </w:rPr>
        <w:t xml:space="preserve">108 miliardi di </w:t>
      </w:r>
      <w:r w:rsidR="00BC0A34">
        <w:rPr>
          <w:rFonts w:eastAsia="Times New Roman" w:cstheme="minorHAnsi"/>
          <w:kern w:val="0"/>
          <w:lang w:eastAsia="it-IT"/>
          <w14:ligatures w14:val="none"/>
        </w:rPr>
        <w:t>dollari</w:t>
      </w:r>
      <w:r w:rsidR="00327191" w:rsidRPr="00327191">
        <w:rPr>
          <w:rFonts w:eastAsia="Times New Roman" w:cstheme="minorHAnsi"/>
          <w:kern w:val="0"/>
          <w:lang w:eastAsia="it-IT"/>
          <w14:ligatures w14:val="none"/>
        </w:rPr>
        <w:t>, sono significativamente inferiori (-37%)</w:t>
      </w:r>
      <w:r w:rsidR="00BC0A34">
        <w:rPr>
          <w:rFonts w:eastAsia="Times New Roman" w:cstheme="minorHAnsi"/>
          <w:kern w:val="0"/>
          <w:lang w:eastAsia="it-IT"/>
          <w14:ligatures w14:val="none"/>
        </w:rPr>
        <w:t xml:space="preserve"> rispetto</w:t>
      </w:r>
      <w:r w:rsidR="00327191" w:rsidRPr="00327191">
        <w:rPr>
          <w:rFonts w:eastAsia="Times New Roman" w:cstheme="minorHAnsi"/>
          <w:kern w:val="0"/>
          <w:lang w:eastAsia="it-IT"/>
          <w14:ligatures w14:val="none"/>
        </w:rPr>
        <w:t xml:space="preserve"> ai 172 miliardi emessi nei primi 11 mesi del 2022. </w:t>
      </w:r>
      <w:r>
        <w:rPr>
          <w:rFonts w:eastAsia="Times New Roman" w:cstheme="minorHAnsi"/>
          <w:kern w:val="0"/>
          <w:lang w:eastAsia="it-IT"/>
          <w14:ligatures w14:val="none"/>
        </w:rPr>
        <w:t>Tuttavia, n</w:t>
      </w:r>
      <w:r w:rsidR="00327191" w:rsidRPr="00327191">
        <w:rPr>
          <w:rFonts w:eastAsia="Times New Roman" w:cstheme="minorHAnsi"/>
          <w:kern w:val="0"/>
          <w:lang w:eastAsia="it-IT"/>
          <w14:ligatures w14:val="none"/>
        </w:rPr>
        <w:t>onostante il calo nominale, la quota di offerta bancaria rispetto al totale delle emissioni corporate nel comparto I</w:t>
      </w:r>
      <w:r w:rsidR="00F250AB">
        <w:rPr>
          <w:rFonts w:eastAsia="Times New Roman" w:cstheme="minorHAnsi"/>
          <w:kern w:val="0"/>
          <w:lang w:eastAsia="it-IT"/>
          <w14:ligatures w14:val="none"/>
        </w:rPr>
        <w:t xml:space="preserve">nvestment </w:t>
      </w:r>
      <w:r w:rsidR="00327191" w:rsidRPr="00327191">
        <w:rPr>
          <w:rFonts w:eastAsia="Times New Roman" w:cstheme="minorHAnsi"/>
          <w:kern w:val="0"/>
          <w:lang w:eastAsia="it-IT"/>
          <w14:ligatures w14:val="none"/>
        </w:rPr>
        <w:t>G</w:t>
      </w:r>
      <w:r w:rsidR="00F250AB">
        <w:rPr>
          <w:rFonts w:eastAsia="Times New Roman" w:cstheme="minorHAnsi"/>
          <w:kern w:val="0"/>
          <w:lang w:eastAsia="it-IT"/>
          <w14:ligatures w14:val="none"/>
        </w:rPr>
        <w:t>rade</w:t>
      </w:r>
      <w:r w:rsidR="00327191" w:rsidRPr="00327191">
        <w:rPr>
          <w:rFonts w:eastAsia="Times New Roman" w:cstheme="minorHAnsi"/>
          <w:kern w:val="0"/>
          <w:lang w:eastAsia="it-IT"/>
          <w14:ligatures w14:val="none"/>
        </w:rPr>
        <w:t xml:space="preserve">, pari al 33%, rimane superiore alla media quinquennale del 28%. </w:t>
      </w:r>
    </w:p>
    <w:p w14:paraId="1122E667" w14:textId="77777777" w:rsidR="00D12FAD" w:rsidRPr="0025044E" w:rsidRDefault="00D12FAD" w:rsidP="0025044E">
      <w:pPr>
        <w:shd w:val="clear" w:color="auto" w:fill="FFFFFF"/>
        <w:spacing w:after="0" w:line="390" w:lineRule="atLeast"/>
        <w:rPr>
          <w:rFonts w:cstheme="minorHAnsi"/>
        </w:rPr>
      </w:pPr>
    </w:p>
    <w:sectPr w:rsidR="00D12FAD" w:rsidRPr="00250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9A9"/>
    <w:multiLevelType w:val="hybridMultilevel"/>
    <w:tmpl w:val="40A6A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676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FB"/>
    <w:rsid w:val="00011181"/>
    <w:rsid w:val="0004462C"/>
    <w:rsid w:val="000667C7"/>
    <w:rsid w:val="00070EEA"/>
    <w:rsid w:val="000F5BFD"/>
    <w:rsid w:val="0011260B"/>
    <w:rsid w:val="00152448"/>
    <w:rsid w:val="00195428"/>
    <w:rsid w:val="0025044E"/>
    <w:rsid w:val="002912ED"/>
    <w:rsid w:val="002B0A31"/>
    <w:rsid w:val="002C1B1D"/>
    <w:rsid w:val="002E68F9"/>
    <w:rsid w:val="0030358D"/>
    <w:rsid w:val="003215DB"/>
    <w:rsid w:val="00327191"/>
    <w:rsid w:val="00371562"/>
    <w:rsid w:val="003A4821"/>
    <w:rsid w:val="003E2B75"/>
    <w:rsid w:val="00407738"/>
    <w:rsid w:val="00433BE9"/>
    <w:rsid w:val="0043465E"/>
    <w:rsid w:val="004615C6"/>
    <w:rsid w:val="004B206B"/>
    <w:rsid w:val="004B502D"/>
    <w:rsid w:val="004E3DA0"/>
    <w:rsid w:val="005452E3"/>
    <w:rsid w:val="00546583"/>
    <w:rsid w:val="00572053"/>
    <w:rsid w:val="00592BFF"/>
    <w:rsid w:val="00595571"/>
    <w:rsid w:val="005A5D20"/>
    <w:rsid w:val="00624FDF"/>
    <w:rsid w:val="00651AE8"/>
    <w:rsid w:val="00661CE5"/>
    <w:rsid w:val="006B691D"/>
    <w:rsid w:val="007275F4"/>
    <w:rsid w:val="00777164"/>
    <w:rsid w:val="007819C5"/>
    <w:rsid w:val="00791B86"/>
    <w:rsid w:val="00893341"/>
    <w:rsid w:val="0091789F"/>
    <w:rsid w:val="00924434"/>
    <w:rsid w:val="00947C8F"/>
    <w:rsid w:val="009750EB"/>
    <w:rsid w:val="00982C4A"/>
    <w:rsid w:val="009E7836"/>
    <w:rsid w:val="00A21C4E"/>
    <w:rsid w:val="00A32CB0"/>
    <w:rsid w:val="00A34384"/>
    <w:rsid w:val="00A34EB3"/>
    <w:rsid w:val="00A364AF"/>
    <w:rsid w:val="00A45455"/>
    <w:rsid w:val="00A74FE2"/>
    <w:rsid w:val="00A86220"/>
    <w:rsid w:val="00A90913"/>
    <w:rsid w:val="00AB52F2"/>
    <w:rsid w:val="00AD313F"/>
    <w:rsid w:val="00AE689F"/>
    <w:rsid w:val="00B07A31"/>
    <w:rsid w:val="00B147FB"/>
    <w:rsid w:val="00B1500C"/>
    <w:rsid w:val="00B31FDD"/>
    <w:rsid w:val="00B77E02"/>
    <w:rsid w:val="00B974AC"/>
    <w:rsid w:val="00BC0A34"/>
    <w:rsid w:val="00BC2B6F"/>
    <w:rsid w:val="00BE6C22"/>
    <w:rsid w:val="00BE7AB7"/>
    <w:rsid w:val="00BF1F57"/>
    <w:rsid w:val="00C31367"/>
    <w:rsid w:val="00C57846"/>
    <w:rsid w:val="00C97DA6"/>
    <w:rsid w:val="00CB23BE"/>
    <w:rsid w:val="00CD49FE"/>
    <w:rsid w:val="00D000D8"/>
    <w:rsid w:val="00D1295F"/>
    <w:rsid w:val="00D12FAD"/>
    <w:rsid w:val="00D223DB"/>
    <w:rsid w:val="00D85F1E"/>
    <w:rsid w:val="00D95033"/>
    <w:rsid w:val="00DC13E4"/>
    <w:rsid w:val="00EB0213"/>
    <w:rsid w:val="00F250AB"/>
    <w:rsid w:val="00F25D04"/>
    <w:rsid w:val="00F4533F"/>
    <w:rsid w:val="00F93CA2"/>
    <w:rsid w:val="00FE5271"/>
    <w:rsid w:val="00FF706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5AD0"/>
  <w15:chartTrackingRefBased/>
  <w15:docId w15:val="{1B2B5FCE-98A7-4B1C-B8E9-0F4F6544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147F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B147F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paragraph" w:styleId="Titolo4">
    <w:name w:val="heading 4"/>
    <w:basedOn w:val="Normale"/>
    <w:link w:val="Titolo4Carattere"/>
    <w:uiPriority w:val="9"/>
    <w:qFormat/>
    <w:rsid w:val="00B147F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paragraph" w:styleId="Titolo6">
    <w:name w:val="heading 6"/>
    <w:basedOn w:val="Normale"/>
    <w:link w:val="Titolo6Carattere"/>
    <w:uiPriority w:val="9"/>
    <w:qFormat/>
    <w:rsid w:val="00B147FB"/>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47FB"/>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B147FB"/>
    <w:rPr>
      <w:rFonts w:ascii="Times New Roman" w:eastAsia="Times New Roman" w:hAnsi="Times New Roman" w:cs="Times New Roman"/>
      <w:b/>
      <w:bCs/>
      <w:kern w:val="0"/>
      <w:sz w:val="27"/>
      <w:szCs w:val="27"/>
      <w:lang w:eastAsia="it-IT"/>
      <w14:ligatures w14:val="none"/>
    </w:rPr>
  </w:style>
  <w:style w:type="character" w:customStyle="1" w:styleId="Titolo4Carattere">
    <w:name w:val="Titolo 4 Carattere"/>
    <w:basedOn w:val="Carpredefinitoparagrafo"/>
    <w:link w:val="Titolo4"/>
    <w:uiPriority w:val="9"/>
    <w:rsid w:val="00B147FB"/>
    <w:rPr>
      <w:rFonts w:ascii="Times New Roman" w:eastAsia="Times New Roman" w:hAnsi="Times New Roman" w:cs="Times New Roman"/>
      <w:b/>
      <w:bCs/>
      <w:kern w:val="0"/>
      <w:sz w:val="24"/>
      <w:szCs w:val="24"/>
      <w:lang w:eastAsia="it-IT"/>
      <w14:ligatures w14:val="none"/>
    </w:rPr>
  </w:style>
  <w:style w:type="character" w:customStyle="1" w:styleId="Titolo6Carattere">
    <w:name w:val="Titolo 6 Carattere"/>
    <w:basedOn w:val="Carpredefinitoparagrafo"/>
    <w:link w:val="Titolo6"/>
    <w:uiPriority w:val="9"/>
    <w:rsid w:val="00B147FB"/>
    <w:rPr>
      <w:rFonts w:ascii="Times New Roman" w:eastAsia="Times New Roman" w:hAnsi="Times New Roman" w:cs="Times New Roman"/>
      <w:b/>
      <w:bCs/>
      <w:kern w:val="0"/>
      <w:sz w:val="15"/>
      <w:szCs w:val="15"/>
      <w:lang w:eastAsia="it-IT"/>
      <w14:ligatures w14:val="none"/>
    </w:rPr>
  </w:style>
  <w:style w:type="character" w:customStyle="1" w:styleId="insight-detail-subhead">
    <w:name w:val="insight-detail-subhead"/>
    <w:basedOn w:val="Carpredefinitoparagrafo"/>
    <w:rsid w:val="00B147FB"/>
  </w:style>
  <w:style w:type="character" w:customStyle="1" w:styleId="globalizedate">
    <w:name w:val="globalizedate"/>
    <w:basedOn w:val="Carpredefinitoparagrafo"/>
    <w:rsid w:val="00B147FB"/>
  </w:style>
  <w:style w:type="character" w:styleId="Collegamentoipertestuale">
    <w:name w:val="Hyperlink"/>
    <w:basedOn w:val="Carpredefinitoparagrafo"/>
    <w:uiPriority w:val="99"/>
    <w:semiHidden/>
    <w:unhideWhenUsed/>
    <w:rsid w:val="00B147FB"/>
    <w:rPr>
      <w:color w:val="0000FF"/>
      <w:u w:val="single"/>
    </w:rPr>
  </w:style>
  <w:style w:type="paragraph" w:styleId="NormaleWeb">
    <w:name w:val="Normal (Web)"/>
    <w:basedOn w:val="Normale"/>
    <w:uiPriority w:val="99"/>
    <w:semiHidden/>
    <w:unhideWhenUsed/>
    <w:rsid w:val="00B147F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B147FB"/>
    <w:rPr>
      <w:b/>
      <w:bCs/>
    </w:rPr>
  </w:style>
  <w:style w:type="paragraph" w:styleId="Paragrafoelenco">
    <w:name w:val="List Paragraph"/>
    <w:basedOn w:val="Normale"/>
    <w:uiPriority w:val="34"/>
    <w:qFormat/>
    <w:rsid w:val="00F93CA2"/>
    <w:pPr>
      <w:ind w:left="720"/>
      <w:contextualSpacing/>
    </w:pPr>
  </w:style>
  <w:style w:type="paragraph" w:styleId="Revisione">
    <w:name w:val="Revision"/>
    <w:hidden/>
    <w:uiPriority w:val="99"/>
    <w:semiHidden/>
    <w:rsid w:val="0094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67270">
      <w:bodyDiv w:val="1"/>
      <w:marLeft w:val="0"/>
      <w:marRight w:val="0"/>
      <w:marTop w:val="0"/>
      <w:marBottom w:val="0"/>
      <w:divBdr>
        <w:top w:val="none" w:sz="0" w:space="0" w:color="auto"/>
        <w:left w:val="none" w:sz="0" w:space="0" w:color="auto"/>
        <w:bottom w:val="none" w:sz="0" w:space="0" w:color="auto"/>
        <w:right w:val="none" w:sz="0" w:space="0" w:color="auto"/>
      </w:divBdr>
      <w:divsChild>
        <w:div w:id="171266324">
          <w:marLeft w:val="-240"/>
          <w:marRight w:val="-240"/>
          <w:marTop w:val="0"/>
          <w:marBottom w:val="0"/>
          <w:divBdr>
            <w:top w:val="none" w:sz="0" w:space="0" w:color="auto"/>
            <w:left w:val="none" w:sz="0" w:space="0" w:color="auto"/>
            <w:bottom w:val="none" w:sz="0" w:space="0" w:color="auto"/>
            <w:right w:val="none" w:sz="0" w:space="0" w:color="auto"/>
          </w:divBdr>
          <w:divsChild>
            <w:div w:id="784084005">
              <w:marLeft w:val="1462"/>
              <w:marRight w:val="0"/>
              <w:marTop w:val="0"/>
              <w:marBottom w:val="0"/>
              <w:divBdr>
                <w:top w:val="none" w:sz="0" w:space="0" w:color="auto"/>
                <w:left w:val="none" w:sz="0" w:space="0" w:color="auto"/>
                <w:bottom w:val="none" w:sz="0" w:space="0" w:color="auto"/>
                <w:right w:val="none" w:sz="0" w:space="0" w:color="auto"/>
              </w:divBdr>
              <w:divsChild>
                <w:div w:id="2100440296">
                  <w:marLeft w:val="0"/>
                  <w:marRight w:val="0"/>
                  <w:marTop w:val="120"/>
                  <w:marBottom w:val="240"/>
                  <w:divBdr>
                    <w:top w:val="none" w:sz="0" w:space="0" w:color="auto"/>
                    <w:left w:val="none" w:sz="0" w:space="0" w:color="auto"/>
                    <w:bottom w:val="none" w:sz="0" w:space="0" w:color="auto"/>
                    <w:right w:val="none" w:sz="0" w:space="0" w:color="auto"/>
                  </w:divBdr>
                  <w:divsChild>
                    <w:div w:id="1240403762">
                      <w:marLeft w:val="0"/>
                      <w:marRight w:val="0"/>
                      <w:marTop w:val="0"/>
                      <w:marBottom w:val="0"/>
                      <w:divBdr>
                        <w:top w:val="none" w:sz="0" w:space="0" w:color="auto"/>
                        <w:left w:val="none" w:sz="0" w:space="0" w:color="auto"/>
                        <w:bottom w:val="none" w:sz="0" w:space="0" w:color="auto"/>
                        <w:right w:val="none" w:sz="0" w:space="0" w:color="auto"/>
                      </w:divBdr>
                      <w:divsChild>
                        <w:div w:id="13501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417">
                  <w:marLeft w:val="0"/>
                  <w:marRight w:val="0"/>
                  <w:marTop w:val="120"/>
                  <w:marBottom w:val="240"/>
                  <w:divBdr>
                    <w:top w:val="none" w:sz="0" w:space="0" w:color="auto"/>
                    <w:left w:val="none" w:sz="0" w:space="0" w:color="auto"/>
                    <w:bottom w:val="none" w:sz="0" w:space="0" w:color="auto"/>
                    <w:right w:val="none" w:sz="0" w:space="0" w:color="auto"/>
                  </w:divBdr>
                  <w:divsChild>
                    <w:div w:id="1099568408">
                      <w:marLeft w:val="0"/>
                      <w:marRight w:val="0"/>
                      <w:marTop w:val="0"/>
                      <w:marBottom w:val="0"/>
                      <w:divBdr>
                        <w:top w:val="none" w:sz="0" w:space="0" w:color="auto"/>
                        <w:left w:val="none" w:sz="0" w:space="0" w:color="auto"/>
                        <w:bottom w:val="none" w:sz="0" w:space="0" w:color="auto"/>
                        <w:right w:val="none" w:sz="0" w:space="0" w:color="auto"/>
                      </w:divBdr>
                      <w:divsChild>
                        <w:div w:id="1266494649">
                          <w:marLeft w:val="0"/>
                          <w:marRight w:val="0"/>
                          <w:marTop w:val="0"/>
                          <w:marBottom w:val="0"/>
                          <w:divBdr>
                            <w:top w:val="none" w:sz="0" w:space="0" w:color="auto"/>
                            <w:left w:val="none" w:sz="0" w:space="0" w:color="auto"/>
                            <w:bottom w:val="none" w:sz="0" w:space="0" w:color="auto"/>
                            <w:right w:val="none" w:sz="0" w:space="0" w:color="auto"/>
                          </w:divBdr>
                          <w:divsChild>
                            <w:div w:id="1383676706">
                              <w:marLeft w:val="0"/>
                              <w:marRight w:val="0"/>
                              <w:marTop w:val="0"/>
                              <w:marBottom w:val="0"/>
                              <w:divBdr>
                                <w:top w:val="none" w:sz="0" w:space="0" w:color="auto"/>
                                <w:left w:val="none" w:sz="0" w:space="0" w:color="auto"/>
                                <w:bottom w:val="none" w:sz="0" w:space="0" w:color="auto"/>
                                <w:right w:val="none" w:sz="0" w:space="0" w:color="auto"/>
                              </w:divBdr>
                            </w:div>
                            <w:div w:id="625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6674">
          <w:marLeft w:val="-240"/>
          <w:marRight w:val="-240"/>
          <w:marTop w:val="0"/>
          <w:marBottom w:val="0"/>
          <w:divBdr>
            <w:top w:val="none" w:sz="0" w:space="0" w:color="auto"/>
            <w:left w:val="none" w:sz="0" w:space="0" w:color="auto"/>
            <w:bottom w:val="none" w:sz="0" w:space="0" w:color="auto"/>
            <w:right w:val="none" w:sz="0" w:space="0" w:color="auto"/>
          </w:divBdr>
          <w:divsChild>
            <w:div w:id="2021928375">
              <w:marLeft w:val="1462"/>
              <w:marRight w:val="0"/>
              <w:marTop w:val="0"/>
              <w:marBottom w:val="0"/>
              <w:divBdr>
                <w:top w:val="none" w:sz="0" w:space="0" w:color="auto"/>
                <w:left w:val="none" w:sz="0" w:space="0" w:color="auto"/>
                <w:bottom w:val="none" w:sz="0" w:space="0" w:color="auto"/>
                <w:right w:val="none" w:sz="0" w:space="0" w:color="auto"/>
              </w:divBdr>
              <w:divsChild>
                <w:div w:id="3230495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60B6-FF6A-40DB-B618-939C6BE8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giovanelli</dc:creator>
  <cp:keywords/>
  <dc:description/>
  <cp:lastModifiedBy>Massimo Morici</cp:lastModifiedBy>
  <cp:revision>6</cp:revision>
  <dcterms:created xsi:type="dcterms:W3CDTF">2023-12-22T11:23:00Z</dcterms:created>
  <dcterms:modified xsi:type="dcterms:W3CDTF">2023-12-22T11:31:00Z</dcterms:modified>
</cp:coreProperties>
</file>