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CF" w:rsidRDefault="001E3A66">
      <w:pPr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Il bando scade il 21 dicembre. La call è per la progettazione di politiche per la riduzione delle emissioni inquinanti</w:t>
      </w:r>
    </w:p>
    <w:p w:rsidR="007836CF" w:rsidRDefault="007836CF"/>
    <w:p w:rsidR="007836CF" w:rsidRDefault="001E3A66">
      <w:pPr>
        <w:ind w:firstLine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Le Università fanno rete per ridurre le emissioni di Co2</w:t>
      </w:r>
    </w:p>
    <w:p w:rsidR="007836CF" w:rsidRDefault="001E3A66">
      <w:pPr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Finanziamento di 3,6 milioni di euro per la ricerca scientifica con il bando a cascata dell'Università di Padova, capofila dello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6 del partenariato esteso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Grins</w:t>
      </w:r>
      <w:proofErr w:type="spellEnd"/>
    </w:p>
    <w:p w:rsidR="007836CF" w:rsidRDefault="007836CF"/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Fare rete per ridurre le emissioni di Co2. È l’obiettivo del bando a cascata, aperto fino al 21 dicembre, lanciato dall’Università di Padova capofila dello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del partenariato esteso, finanziato dal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Pnrr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hyperlink r:id="rId7">
        <w:proofErr w:type="spellStart"/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Grins</w:t>
        </w:r>
        <w:proofErr w:type="spellEnd"/>
      </w:hyperlink>
      <w:r>
        <w:rPr>
          <w:rFonts w:ascii="Palatino Linotype" w:eastAsia="Palatino Linotype" w:hAnsi="Palatino Linotype" w:cs="Palatino Linotype"/>
          <w:sz w:val="20"/>
          <w:szCs w:val="20"/>
        </w:rPr>
        <w:t>. Il finanziamento di 3.6 milioni di euro del bando, rivolto a università statali o enti di ricerca pubblici, mira alla progettazione di politiche per la riduzione delle emissioni inquinanti.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Come spiega la prof.ssa Paola Valbonesi, coordinatrice dello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e direttrice del Dipartimento di Scienze Economiche e Aziendali 'Marco Fanno' dell’Università degli Studi di Padova, “il primo bando a cascata dello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rappresenta un'opportunità unica per promuovere la ricerca a supporto di politiche volte alla riduzione delle emissioni di carbonio. I nostri obiettivi di lavoro come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sono vari e comprendono, tra gli altri, la creazione di scenari di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decarbonizzazione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la lotta alla povertà energetica, la promozione dell'efficienza energetica delle abitazioni. Inoltre, ci impegniamo a sensibilizzare individui e comunità su consumi energetici responsabili, e -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piu'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 generale - a promuovere comportamenti a sostegno della transizione ecologica, dagli acquisti verdi alla mobilità sostenibile.”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Politiche di riduzione della CO2: le attività dello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6.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La riduzione delle emissioni di anidride carbonica è una sfida mondiale e la transizione ecologica sta diventando più complessa a causa di condizioni geopolitiche sempre più instabili combinate con progressi tecnologici rapidi e imprevedibili. Per questo è fondamentale il pieno coinvolgimento degli attori del sistema economico (individui e comunità, imprese, istituzioni) che, unito all’impegno nella raccolta dati per la ricerca e per il disegno delle policy per la riduzione delle emissioni,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rappresenta il filo rosso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delle linee di ricerca dello </w:t>
      </w:r>
      <w:hyperlink r:id="rId8">
        <w:proofErr w:type="spellStart"/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Spoke</w:t>
        </w:r>
        <w:proofErr w:type="spellEnd"/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 xml:space="preserve"> 6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progetto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7836CF" w:rsidRDefault="007836CF">
      <w:pPr>
        <w:rPr>
          <w:rFonts w:ascii="Palatino Linotype" w:eastAsia="Palatino Linotype" w:hAnsi="Palatino Linotype" w:cs="Palatino Linotype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Le linee di finanziamento e le tematiche del bando a cascata dello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6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 Il bando a cascata dello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è stato progettato su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due linee di finanziamento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a loro volta declinate su undici specifiche tematiche di ricerca.</w:t>
      </w:r>
    </w:p>
    <w:p w:rsidR="007836CF" w:rsidRDefault="007836CF"/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linea A di intervento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bando si focalizza in primis sulla tematica della riduzione delle emissioni di carbonio nel settore delle costruzioni e dell'approvvigionamento energetico. Inoltre, finanzia ricerche per ridurre la domanda energetica e quindi abbattere le emissioni di CO2 da parte delle aziende di servizi pubblici. Fondamentali sono inoltre le politiche a bassa emissione di carbonio e delle strategie di sostenibilità nelle catene di approvvigionamento attraverso il finanziamento di progetti di ricerca focalizzati su settori come il turismo e l'industria alimentare.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Un ulteriore obiettivo della linea A è lo sviluppo di un Sistema Regionale Integrato di Contabilità Economico-Ambientale, per promuovere una crescita economica equilibrata e sostenibile. Finanziati anche progetti di resilienza e sostenibilità delle PMI nelle catene del valore globali, al fine di garantire un'economia solida e stabile per l'intera comunità.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linea di intervento B </w:t>
      </w:r>
      <w:r>
        <w:rPr>
          <w:rFonts w:ascii="Palatino Linotype" w:eastAsia="Palatino Linotype" w:hAnsi="Palatino Linotype" w:cs="Palatino Linotype"/>
          <w:sz w:val="20"/>
          <w:szCs w:val="20"/>
        </w:rPr>
        <w:t>si concentra sulle sfide legate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alla sostenibilità nel Sud Italia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attraverso il finanziamento di progetti che sviluppano politiche di riduzione delle emissioni e strategie di sostenibilità. In particolare,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viene posto un accento speciale sul settore agroalimentare</w:t>
      </w:r>
      <w:r>
        <w:rPr>
          <w:rFonts w:ascii="Palatino Linotype" w:eastAsia="Palatino Linotype" w:hAnsi="Palatino Linotype" w:cs="Palatino Linotype"/>
          <w:sz w:val="20"/>
          <w:szCs w:val="20"/>
        </w:rPr>
        <w:t>, un elemento chiave dell'economia meridionale.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Tra le tematiche finanziate rientra anche la raccolta di dati di monitoraggio ad alta frequenza, essenziale per comprendere le emissioni di Co2 e l'inquinamento costiero e valutarne gli effetti sulla salute umana. Inoltre, la linea B sostiene ricerche mirate a indagare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le preferenze delle famiglie del Sud Italia riguardo agli investimenti in efficienza energetica nelle abitazioni e nell'edilizia sociale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con l'obiettivo di offrire soluzioni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ad hoc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per le comunità locali.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gestione sostenibile dei rifiuti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è un altro tema cruciale affrontato dal bando, poiché può contribuire significativamente a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ridurre l'impatto ambientale e migliorare la qualità della vita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 Infine, sono finanziati progetti volti a studiare le scelte dei consumatori, utilizzando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insight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comportamentali basati su evidenze, per promuovere politiche per la riduzione della CO2, coinvolgendo in modo attivo la popolazione nell'adozione di uno stile di vita più sostenibile.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"Il bando a cascata dello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6 della Fondazione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- conclude la prof.ssa Valbonesi - si distingue per la sua ampia copertura delle sfide ambientali e per l'approccio transdisciplinare alla promozione della sostenibilità. Attraverso le sue due linee di finanziamento, il bando affronta in modo completo e mirato questioni cruciali, dalla riduzione delle emissioni di carbonio nei settori chiave alla promozione della sostenibilità nel Sud Italia. Le attività finanziate dovranno contribuire a creare un ponte tra la ricerca e le soluzioni concrete per una crescita più resiliente, inclusiva e sostenibile."</w:t>
      </w:r>
    </w:p>
    <w:p w:rsidR="007836CF" w:rsidRDefault="001E3A66">
      <w:pPr>
        <w:spacing w:before="320"/>
        <w:jc w:val="both"/>
        <w:rPr>
          <w:rFonts w:ascii="Palatino Linotype" w:eastAsia="Palatino Linotype" w:hAnsi="Palatino Linotype" w:cs="Palatino Linotype"/>
          <w:color w:val="1A1A1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1A1A1A"/>
          <w:sz w:val="20"/>
          <w:szCs w:val="20"/>
        </w:rPr>
        <w:t xml:space="preserve">Informazioni utili sul bando a cascata. </w:t>
      </w:r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La scadenza per la presentazione delle proposte progettuali è fissata per il 21 dicembre 2023. Le proposte progettuali dovranno essere inviate secondo le modalità indicate nel bando. Per visitare la pagina dedicata al bando sul sito web di </w:t>
      </w:r>
      <w:proofErr w:type="spellStart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 si prega di consultare il seguente </w:t>
      </w:r>
      <w:hyperlink r:id="rId9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link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. Per consultare il bando direttamente dall’albo ufficiale dell’Università di Padova la pagina da consultare è raggiungibile tramite il seguente </w:t>
      </w:r>
      <w:hyperlink r:id="rId10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link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>.</w:t>
      </w:r>
    </w:p>
    <w:p w:rsidR="007836CF" w:rsidRDefault="007836CF">
      <w:pPr>
        <w:rPr>
          <w:rFonts w:ascii="Palatino Linotype" w:eastAsia="Palatino Linotype" w:hAnsi="Palatino Linotype" w:cs="Palatino Linotype"/>
          <w:color w:val="1A1A1A"/>
          <w:sz w:val="20"/>
          <w:szCs w:val="20"/>
        </w:rPr>
      </w:pP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1A1A1A"/>
          <w:sz w:val="20"/>
          <w:szCs w:val="20"/>
        </w:rPr>
        <w:t>Chi è</w:t>
      </w:r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="Palatino Linotype" w:eastAsia="Palatino Linotype" w:hAnsi="Palatino Linotype" w:cs="Palatino Linotype"/>
          <w:b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è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un progetto articolato in 9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opera nell’ambito delle scienze economiche-politico-sociali e delle scienze dei dati, per fornire evidenze scientifiche che orientino le politiche pubbliche e le scelte di cittadini e aziende in contesti decisionali complessi. </w:t>
      </w:r>
    </w:p>
    <w:p w:rsidR="007836CF" w:rsidRDefault="001E3A66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La missione di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è la creazione della piattaforma digitale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Amelia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per poter dare accesso a dati, strumenti di analisi e reportistica di alta qualità, in modo tempestivo e facilmente consultabile per permettere di comprendere la realtà sociale, economica e ambientale del Paese a tutti gli attori del sistema economico: pubbliche amministrazioni,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policy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makers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, ricercatori, imprese e famiglie.</w:t>
      </w:r>
    </w:p>
    <w:p w:rsidR="007836CF" w:rsidRDefault="001E3A66">
      <w:pPr>
        <w:spacing w:before="320"/>
        <w:jc w:val="both"/>
        <w:rPr>
          <w:rFonts w:ascii="Palatino Linotype" w:eastAsia="Palatino Linotype" w:hAnsi="Palatino Linotype" w:cs="Palatino Linotype"/>
          <w:color w:val="1A1A1A"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lastRenderedPageBreak/>
        <w:t xml:space="preserve">Le informazioni sul progetto </w:t>
      </w:r>
      <w:proofErr w:type="spellStart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>Grins</w:t>
      </w:r>
      <w:proofErr w:type="spellEnd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 e sulle sue attività sono reperibili all’indirizzo web </w:t>
      </w:r>
      <w:hyperlink r:id="rId11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https://grins.it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 e tramite le pagine social della Fondazione: pagina su X: </w:t>
      </w:r>
      <w:hyperlink r:id="rId12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https://twitter.com/GrinsFoundation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; pagina su </w:t>
      </w:r>
      <w:proofErr w:type="spellStart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>Linkedin</w:t>
      </w:r>
      <w:proofErr w:type="spellEnd"/>
      <w:r>
        <w:rPr>
          <w:rFonts w:ascii="Palatino Linotype" w:eastAsia="Palatino Linotype" w:hAnsi="Palatino Linotype" w:cs="Palatino Linotype"/>
          <w:color w:val="1A1A1A"/>
          <w:sz w:val="20"/>
          <w:szCs w:val="20"/>
        </w:rPr>
        <w:t xml:space="preserve">: </w:t>
      </w:r>
      <w:hyperlink r:id="rId13">
        <w:r>
          <w:rPr>
            <w:rFonts w:ascii="Palatino Linotype" w:eastAsia="Palatino Linotype" w:hAnsi="Palatino Linotype" w:cs="Palatino Linotype"/>
            <w:color w:val="1D54A2"/>
            <w:sz w:val="20"/>
            <w:szCs w:val="20"/>
            <w:highlight w:val="white"/>
            <w:u w:val="single"/>
          </w:rPr>
          <w:t>https://www.linkedin.com/company/grins-foundation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  <w:highlight w:val="white"/>
        </w:rPr>
        <w:t xml:space="preserve">. </w:t>
      </w:r>
    </w:p>
    <w:p w:rsidR="007836CF" w:rsidRDefault="001E3A66">
      <w:pPr>
        <w:spacing w:before="320"/>
        <w:jc w:val="both"/>
        <w:rPr>
          <w:rFonts w:ascii="Palatino Linotype" w:eastAsia="Palatino Linotype" w:hAnsi="Palatino Linotype" w:cs="Palatino Linotype"/>
          <w:color w:val="1A1A1A"/>
          <w:sz w:val="20"/>
          <w:szCs w:val="20"/>
          <w:highlight w:val="white"/>
        </w:rPr>
      </w:pPr>
      <w:r w:rsidRPr="00DD43E1">
        <w:rPr>
          <w:rFonts w:ascii="Palatino Linotype" w:eastAsia="Palatino Linotype" w:hAnsi="Palatino Linotype" w:cs="Palatino Linotype"/>
          <w:b/>
          <w:color w:val="1A1A1A"/>
          <w:sz w:val="20"/>
          <w:szCs w:val="20"/>
          <w:highlight w:val="white"/>
          <w:u w:val="single"/>
        </w:rPr>
        <w:t>Per attività di comunicazione e media relations contattare</w:t>
      </w:r>
      <w:r>
        <w:rPr>
          <w:rFonts w:ascii="Palatino Linotype" w:eastAsia="Palatino Linotype" w:hAnsi="Palatino Linotype" w:cs="Palatino Linotype"/>
          <w:color w:val="1A1A1A"/>
          <w:sz w:val="20"/>
          <w:szCs w:val="20"/>
          <w:highlight w:val="white"/>
        </w:rPr>
        <w:t xml:space="preserve"> il 3387365036 o scrivere a </w:t>
      </w:r>
      <w:hyperlink r:id="rId14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highlight w:val="white"/>
            <w:u w:val="single"/>
          </w:rPr>
          <w:t>comunicazione@grinsfoundation.it</w:t>
        </w:r>
      </w:hyperlink>
      <w:r>
        <w:rPr>
          <w:rFonts w:ascii="Palatino Linotype" w:eastAsia="Palatino Linotype" w:hAnsi="Palatino Linotype" w:cs="Palatino Linotype"/>
          <w:color w:val="1A1A1A"/>
          <w:sz w:val="20"/>
          <w:szCs w:val="20"/>
          <w:highlight w:val="white"/>
        </w:rPr>
        <w:t>.</w:t>
      </w:r>
    </w:p>
    <w:p w:rsidR="007836CF" w:rsidRDefault="007836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836CF" w:rsidRDefault="007836CF">
      <w:bookmarkStart w:id="0" w:name="_GoBack"/>
      <w:bookmarkEnd w:id="0"/>
    </w:p>
    <w:sectPr w:rsidR="007836CF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CC" w:rsidRDefault="008068CC">
      <w:pPr>
        <w:spacing w:line="240" w:lineRule="auto"/>
      </w:pPr>
      <w:r>
        <w:separator/>
      </w:r>
    </w:p>
  </w:endnote>
  <w:endnote w:type="continuationSeparator" w:id="0">
    <w:p w:rsidR="008068CC" w:rsidRDefault="00806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CF" w:rsidRDefault="001E3A66">
    <w:pPr>
      <w:jc w:val="right"/>
      <w:rPr>
        <w:rFonts w:ascii="Palatino Linotype" w:eastAsia="Palatino Linotype" w:hAnsi="Palatino Linotype" w:cs="Palatino Linotype"/>
        <w:sz w:val="18"/>
        <w:szCs w:val="18"/>
      </w:rPr>
    </w:pPr>
    <w:r>
      <w:rPr>
        <w:rFonts w:ascii="Palatino Linotype" w:eastAsia="Palatino Linotype" w:hAnsi="Palatino Linotype" w:cs="Palatino Linotype"/>
        <w:sz w:val="18"/>
        <w:szCs w:val="18"/>
      </w:rPr>
      <w:t xml:space="preserve">Pagina </w:t>
    </w:r>
    <w:r>
      <w:rPr>
        <w:rFonts w:ascii="Palatino Linotype" w:eastAsia="Palatino Linotype" w:hAnsi="Palatino Linotype" w:cs="Palatino Linotype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sz w:val="18"/>
        <w:szCs w:val="18"/>
      </w:rPr>
      <w:fldChar w:fldCharType="separate"/>
    </w:r>
    <w:r w:rsidR="00DD43E1">
      <w:rPr>
        <w:rFonts w:ascii="Palatino Linotype" w:eastAsia="Palatino Linotype" w:hAnsi="Palatino Linotype" w:cs="Palatino Linotype"/>
        <w:noProof/>
        <w:sz w:val="18"/>
        <w:szCs w:val="18"/>
      </w:rPr>
      <w:t>3</w:t>
    </w:r>
    <w:r>
      <w:rPr>
        <w:rFonts w:ascii="Palatino Linotype" w:eastAsia="Palatino Linotype" w:hAnsi="Palatino Linotype" w:cs="Palatino Linotyp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CC" w:rsidRDefault="008068CC">
      <w:pPr>
        <w:spacing w:line="240" w:lineRule="auto"/>
      </w:pPr>
      <w:r>
        <w:separator/>
      </w:r>
    </w:p>
  </w:footnote>
  <w:footnote w:type="continuationSeparator" w:id="0">
    <w:p w:rsidR="008068CC" w:rsidRDefault="00806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CF" w:rsidRDefault="001E3A66"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-877723</wp:posOffset>
          </wp:positionH>
          <wp:positionV relativeFrom="paragraph">
            <wp:posOffset>-333373</wp:posOffset>
          </wp:positionV>
          <wp:extent cx="7481888" cy="65097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1888" cy="650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F"/>
    <w:rsid w:val="001C691D"/>
    <w:rsid w:val="001E3A66"/>
    <w:rsid w:val="007836CF"/>
    <w:rsid w:val="008068CC"/>
    <w:rsid w:val="008F14C2"/>
    <w:rsid w:val="00DD43E1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EC43-614C-4B85-8652-FF386A1B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ns.it/documento/politiche-di-riduzione-della-co2" TargetMode="External"/><Relationship Id="rId13" Type="http://schemas.openxmlformats.org/officeDocument/2006/relationships/hyperlink" Target="https://www.linkedin.com/company/grins-found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ins.it/" TargetMode="External"/><Relationship Id="rId12" Type="http://schemas.openxmlformats.org/officeDocument/2006/relationships/hyperlink" Target="https://twitter.com/GrinsFound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ins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ocollo.unipd.it/albo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ins.it/documento/politiche-di-riduzione-della-co2" TargetMode="External"/><Relationship Id="rId14" Type="http://schemas.openxmlformats.org/officeDocument/2006/relationships/hyperlink" Target="mailto:comunicazione@grinsfound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+pe4QjWc+i9YcuiHdxCpSR7zA==">CgMxLjA4AHIhMURHN3dPWXhoUC1JS0tpOThjV2xhZDNuRDBFem1uZzE3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Marco</dc:creator>
  <cp:lastModifiedBy>Milan Marco</cp:lastModifiedBy>
  <cp:revision>3</cp:revision>
  <dcterms:created xsi:type="dcterms:W3CDTF">2023-11-30T12:44:00Z</dcterms:created>
  <dcterms:modified xsi:type="dcterms:W3CDTF">2023-11-30T12:45:00Z</dcterms:modified>
</cp:coreProperties>
</file>