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B957" w14:textId="77777777" w:rsidR="00E5199B" w:rsidRDefault="00E5199B" w:rsidP="00E5199B">
      <w:r>
        <w:rPr>
          <w:noProof/>
        </w:rPr>
        <w:drawing>
          <wp:inline distT="0" distB="0" distL="0" distR="0" wp14:anchorId="33D9D460" wp14:editId="46B52823">
            <wp:extent cx="2795455" cy="666427"/>
            <wp:effectExtent l="0" t="0" r="508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0963" cy="674892"/>
                    </a:xfrm>
                    <a:prstGeom prst="rect">
                      <a:avLst/>
                    </a:prstGeom>
                    <a:noFill/>
                  </pic:spPr>
                </pic:pic>
              </a:graphicData>
            </a:graphic>
          </wp:inline>
        </w:drawing>
      </w:r>
    </w:p>
    <w:p w14:paraId="66020543" w14:textId="77777777" w:rsidR="00E5199B" w:rsidRDefault="00E5199B" w:rsidP="00E5199B">
      <w:pPr>
        <w:pStyle w:val="Nessunaspaziatura"/>
      </w:pPr>
      <w:r>
        <w:rPr>
          <w:noProof/>
        </w:rPr>
        <mc:AlternateContent>
          <mc:Choice Requires="wps">
            <w:drawing>
              <wp:anchor distT="45720" distB="45720" distL="114300" distR="114300" simplePos="0" relativeHeight="251659264" behindDoc="0" locked="0" layoutInCell="1" allowOverlap="1" wp14:anchorId="2ED1A893" wp14:editId="3C3CCB6C">
                <wp:simplePos x="0" y="0"/>
                <wp:positionH relativeFrom="margin">
                  <wp:posOffset>3112135</wp:posOffset>
                </wp:positionH>
                <wp:positionV relativeFrom="paragraph">
                  <wp:posOffset>167640</wp:posOffset>
                </wp:positionV>
                <wp:extent cx="3225165" cy="140462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1404620"/>
                        </a:xfrm>
                        <a:prstGeom prst="rect">
                          <a:avLst/>
                        </a:prstGeom>
                        <a:solidFill>
                          <a:srgbClr val="FFFFFF"/>
                        </a:solidFill>
                        <a:ln w="9525">
                          <a:noFill/>
                          <a:miter lim="800000"/>
                          <a:headEnd/>
                          <a:tailEnd/>
                        </a:ln>
                      </wps:spPr>
                      <wps:txbx>
                        <w:txbxContent>
                          <w:p w14:paraId="375BA836" w14:textId="2D417D48" w:rsidR="00E5199B" w:rsidRPr="00963386" w:rsidRDefault="00E5199B" w:rsidP="00BC5DF4">
                            <w:pPr>
                              <w:pStyle w:val="Nessunaspaziatura"/>
                              <w:jc w:val="right"/>
                              <w:rPr>
                                <w:lang w:val="en-US"/>
                              </w:rPr>
                            </w:pPr>
                            <w:r w:rsidRPr="00963386">
                              <w:rPr>
                                <w:lang w:val="en-US"/>
                              </w:rPr>
                              <w:t xml:space="preserve">Milano, </w:t>
                            </w:r>
                            <w:r w:rsidR="00FA7A22">
                              <w:rPr>
                                <w:lang w:val="en-US"/>
                              </w:rPr>
                              <w:t>2</w:t>
                            </w:r>
                            <w:r w:rsidR="006D4639">
                              <w:rPr>
                                <w:lang w:val="en-US"/>
                              </w:rPr>
                              <w:t>0</w:t>
                            </w:r>
                            <w:r w:rsidR="00FB1446">
                              <w:rPr>
                                <w:lang w:val="en-US"/>
                              </w:rPr>
                              <w:t xml:space="preserve"> </w:t>
                            </w:r>
                            <w:r w:rsidR="00136803">
                              <w:rPr>
                                <w:lang w:val="en-US"/>
                              </w:rPr>
                              <w:t>dicembre</w:t>
                            </w:r>
                            <w:r w:rsidR="00DB7C9A" w:rsidRPr="00A85DD4">
                              <w:rPr>
                                <w:lang w:val="en-US"/>
                              </w:rPr>
                              <w:t xml:space="preserve"> </w:t>
                            </w:r>
                            <w:r w:rsidRPr="00A85DD4">
                              <w:rPr>
                                <w:lang w:val="en-US"/>
                              </w:rPr>
                              <w:t>202</w:t>
                            </w:r>
                            <w:r w:rsidR="00FE07EE" w:rsidRPr="00A85DD4">
                              <w:rPr>
                                <w:lang w:val="en-US"/>
                              </w:rPr>
                              <w:t>3</w:t>
                            </w:r>
                          </w:p>
                          <w:p w14:paraId="5250E899" w14:textId="77777777" w:rsidR="00E5199B" w:rsidRPr="00963386" w:rsidRDefault="00E5199B" w:rsidP="00E5199B">
                            <w:pPr>
                              <w:jc w:val="right"/>
                              <w:rPr>
                                <w:lang w:val="en-US"/>
                              </w:rPr>
                            </w:pPr>
                            <w:r w:rsidRPr="00963386">
                              <w:rPr>
                                <w:b/>
                                <w:bCs/>
                                <w:color w:val="0070C0"/>
                                <w:lang w:val="en-US"/>
                              </w:rPr>
                              <w:t>Italian Equity Research – Strategy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D1A893" id="_x0000_t202" coordsize="21600,21600" o:spt="202" path="m,l,21600r21600,l21600,xe">
                <v:stroke joinstyle="miter"/>
                <v:path gradientshapeok="t" o:connecttype="rect"/>
              </v:shapetype>
              <v:shape id="Casella di testo 2" o:spid="_x0000_s1026" type="#_x0000_t202" style="position:absolute;margin-left:245.05pt;margin-top:13.2pt;width:25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" stroked="f">
                <v:textbox style="mso-fit-shape-to-text:t">
                  <w:txbxContent>
                    <w:p w14:paraId="375BA836" w14:textId="2D417D48" w:rsidR="00E5199B" w:rsidRPr="00963386" w:rsidRDefault="00E5199B" w:rsidP="00BC5DF4">
                      <w:pPr>
                        <w:pStyle w:val="Nessunaspaziatura"/>
                        <w:jc w:val="right"/>
                        <w:rPr>
                          <w:lang w:val="en-US"/>
                        </w:rPr>
                      </w:pPr>
                      <w:r w:rsidRPr="00963386">
                        <w:rPr>
                          <w:lang w:val="en-US"/>
                        </w:rPr>
                        <w:t xml:space="preserve">Milano, </w:t>
                      </w:r>
                      <w:r w:rsidR="00FA7A22">
                        <w:rPr>
                          <w:lang w:val="en-US"/>
                        </w:rPr>
                        <w:t>2</w:t>
                      </w:r>
                      <w:r w:rsidR="006D4639">
                        <w:rPr>
                          <w:lang w:val="en-US"/>
                        </w:rPr>
                        <w:t>0</w:t>
                      </w:r>
                      <w:r w:rsidR="00FB1446">
                        <w:rPr>
                          <w:lang w:val="en-US"/>
                        </w:rPr>
                        <w:t xml:space="preserve"> </w:t>
                      </w:r>
                      <w:r w:rsidR="00136803">
                        <w:rPr>
                          <w:lang w:val="en-US"/>
                        </w:rPr>
                        <w:t>dicembre</w:t>
                      </w:r>
                      <w:r w:rsidR="00DB7C9A" w:rsidRPr="00A85DD4">
                        <w:rPr>
                          <w:lang w:val="en-US"/>
                        </w:rPr>
                        <w:t xml:space="preserve"> </w:t>
                      </w:r>
                      <w:r w:rsidRPr="00A85DD4">
                        <w:rPr>
                          <w:lang w:val="en-US"/>
                        </w:rPr>
                        <w:t>202</w:t>
                      </w:r>
                      <w:r w:rsidR="00FE07EE" w:rsidRPr="00A85DD4">
                        <w:rPr>
                          <w:lang w:val="en-US"/>
                        </w:rPr>
                        <w:t>3</w:t>
                      </w:r>
                    </w:p>
                    <w:p w14:paraId="5250E899" w14:textId="77777777" w:rsidR="00E5199B" w:rsidRPr="00963386" w:rsidRDefault="00E5199B" w:rsidP="00E5199B">
                      <w:pPr>
                        <w:jc w:val="right"/>
                        <w:rPr>
                          <w:lang w:val="en-US"/>
                        </w:rPr>
                      </w:pPr>
                      <w:r w:rsidRPr="00963386">
                        <w:rPr>
                          <w:b/>
                          <w:bCs/>
                          <w:color w:val="0070C0"/>
                          <w:lang w:val="en-US"/>
                        </w:rPr>
                        <w:t>Italian Equity Research – Strategy Report</w:t>
                      </w:r>
                    </w:p>
                  </w:txbxContent>
                </v:textbox>
                <w10:wrap type="square" anchorx="margin"/>
              </v:shape>
            </w:pict>
          </mc:Fallback>
        </mc:AlternateContent>
      </w:r>
    </w:p>
    <w:p w14:paraId="7690C031" w14:textId="77777777" w:rsidR="00E5199B" w:rsidRDefault="00E5199B" w:rsidP="00E5199B">
      <w:pPr>
        <w:pStyle w:val="Nessunaspaziatura"/>
      </w:pPr>
    </w:p>
    <w:tbl>
      <w:tblPr>
        <w:tblStyle w:val="TableNormal"/>
        <w:tblW w:w="9379" w:type="dxa"/>
        <w:tblInd w:w="-142" w:type="dxa"/>
        <w:tblLayout w:type="fixed"/>
        <w:tblLook w:val="01E0" w:firstRow="1" w:lastRow="1" w:firstColumn="1" w:lastColumn="1" w:noHBand="0" w:noVBand="0"/>
      </w:tblPr>
      <w:tblGrid>
        <w:gridCol w:w="9379"/>
      </w:tblGrid>
      <w:tr w:rsidR="00E5199B" w:rsidRPr="00843E74" w14:paraId="28F691FF" w14:textId="77777777" w:rsidTr="006D4639">
        <w:trPr>
          <w:trHeight w:val="923"/>
        </w:trPr>
        <w:tc>
          <w:tcPr>
            <w:tcW w:w="9379" w:type="dxa"/>
          </w:tcPr>
          <w:p w14:paraId="2A2A0460" w14:textId="7B02D2A4" w:rsidR="00E5199B" w:rsidRPr="000342D6" w:rsidRDefault="001D30F7" w:rsidP="00382832">
            <w:pPr>
              <w:spacing w:line="611" w:lineRule="exact"/>
              <w:ind w:left="74"/>
              <w:rPr>
                <w:rFonts w:ascii="Calibri" w:eastAsia="Calibri" w:hAnsi="Calibri" w:cs="Calibri"/>
                <w:b/>
                <w:sz w:val="50"/>
                <w:szCs w:val="50"/>
              </w:rPr>
            </w:pPr>
            <w:r w:rsidRPr="000342D6">
              <w:rPr>
                <w:rFonts w:ascii="Calibri" w:eastAsia="Calibri" w:hAnsi="Calibri" w:cs="Calibri"/>
                <w:b/>
                <w:color w:val="075292"/>
                <w:sz w:val="50"/>
                <w:szCs w:val="50"/>
              </w:rPr>
              <w:t>Report mensile sulle</w:t>
            </w:r>
            <w:r w:rsidRPr="000342D6">
              <w:rPr>
                <w:rFonts w:ascii="Calibri" w:eastAsia="Calibri" w:hAnsi="Calibri" w:cs="Calibri"/>
                <w:b/>
                <w:color w:val="075292"/>
                <w:spacing w:val="-2"/>
                <w:sz w:val="50"/>
                <w:szCs w:val="50"/>
              </w:rPr>
              <w:t xml:space="preserve"> </w:t>
            </w:r>
            <w:r w:rsidRPr="000342D6">
              <w:rPr>
                <w:rFonts w:ascii="Calibri" w:eastAsia="Calibri" w:hAnsi="Calibri" w:cs="Calibri"/>
                <w:b/>
                <w:color w:val="075292"/>
                <w:sz w:val="50"/>
                <w:szCs w:val="50"/>
              </w:rPr>
              <w:t>Mid</w:t>
            </w:r>
            <w:r w:rsidRPr="000342D6">
              <w:rPr>
                <w:rFonts w:ascii="Calibri" w:eastAsia="Calibri" w:hAnsi="Calibri" w:cs="Calibri"/>
                <w:b/>
                <w:color w:val="075292"/>
                <w:spacing w:val="-3"/>
                <w:sz w:val="50"/>
                <w:szCs w:val="50"/>
              </w:rPr>
              <w:t xml:space="preserve"> </w:t>
            </w:r>
            <w:r w:rsidRPr="000342D6">
              <w:rPr>
                <w:rFonts w:ascii="Calibri" w:eastAsia="Calibri" w:hAnsi="Calibri" w:cs="Calibri"/>
                <w:b/>
                <w:color w:val="075292"/>
                <w:sz w:val="50"/>
                <w:szCs w:val="50"/>
              </w:rPr>
              <w:t>Small</w:t>
            </w:r>
            <w:r w:rsidRPr="000342D6">
              <w:rPr>
                <w:rFonts w:ascii="Calibri" w:eastAsia="Calibri" w:hAnsi="Calibri" w:cs="Calibri"/>
                <w:b/>
                <w:color w:val="075292"/>
                <w:spacing w:val="-2"/>
                <w:sz w:val="50"/>
                <w:szCs w:val="50"/>
              </w:rPr>
              <w:t xml:space="preserve"> </w:t>
            </w:r>
            <w:r w:rsidRPr="000342D6">
              <w:rPr>
                <w:rFonts w:ascii="Calibri" w:eastAsia="Calibri" w:hAnsi="Calibri" w:cs="Calibri"/>
                <w:b/>
                <w:color w:val="075292"/>
                <w:sz w:val="50"/>
                <w:szCs w:val="50"/>
              </w:rPr>
              <w:t>Cap italiane</w:t>
            </w:r>
          </w:p>
        </w:tc>
      </w:tr>
      <w:tr w:rsidR="00E5199B" w:rsidRPr="00843E74" w14:paraId="6EBFD062" w14:textId="77777777" w:rsidTr="006D4639">
        <w:trPr>
          <w:trHeight w:val="880"/>
        </w:trPr>
        <w:tc>
          <w:tcPr>
            <w:tcW w:w="9379" w:type="dxa"/>
          </w:tcPr>
          <w:p w14:paraId="164BA32E" w14:textId="4E94D2B2" w:rsidR="00E5199B" w:rsidRPr="00D54C4C" w:rsidRDefault="000A7197" w:rsidP="00617B88">
            <w:pPr>
              <w:spacing w:before="83"/>
              <w:ind w:left="74"/>
              <w:rPr>
                <w:rFonts w:ascii="Calibri" w:eastAsia="Calibri" w:hAnsi="Calibri" w:cs="Calibri"/>
                <w:b/>
                <w:sz w:val="10"/>
                <w:szCs w:val="10"/>
                <w:lang w:val="it-IT"/>
              </w:rPr>
            </w:pPr>
            <w:r>
              <w:rPr>
                <w:b/>
                <w:bCs/>
                <w:noProof/>
                <w:sz w:val="28"/>
                <w:szCs w:val="28"/>
              </w:rPr>
              <mc:AlternateContent>
                <mc:Choice Requires="wps">
                  <w:drawing>
                    <wp:anchor distT="0" distB="0" distL="114300" distR="114300" simplePos="0" relativeHeight="251660288" behindDoc="0" locked="0" layoutInCell="1" allowOverlap="1" wp14:anchorId="0354B4AC" wp14:editId="685A73C1">
                      <wp:simplePos x="0" y="0"/>
                      <wp:positionH relativeFrom="margin">
                        <wp:posOffset>23495</wp:posOffset>
                      </wp:positionH>
                      <wp:positionV relativeFrom="paragraph">
                        <wp:posOffset>542925</wp:posOffset>
                      </wp:positionV>
                      <wp:extent cx="1666068" cy="0"/>
                      <wp:effectExtent l="0" t="0" r="29845" b="38100"/>
                      <wp:wrapNone/>
                      <wp:docPr id="2" name="Connettore diritto 2"/>
                      <wp:cNvGraphicFramePr/>
                      <a:graphic xmlns:a="http://schemas.openxmlformats.org/drawingml/2006/main">
                        <a:graphicData uri="http://schemas.microsoft.com/office/word/2010/wordprocessingShape">
                          <wps:wsp>
                            <wps:cNvCnPr/>
                            <wps:spPr>
                              <a:xfrm>
                                <a:off x="0" y="0"/>
                                <a:ext cx="1666068"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033820D" id="Connettore diritto 2"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1.85pt,42.75pt" to="133.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" strokecolor="#4472c4" strokeweight=".5pt">
                      <v:stroke joinstyle="miter"/>
                      <w10:wrap anchorx="margin"/>
                    </v:line>
                  </w:pict>
                </mc:Fallback>
              </mc:AlternateContent>
            </w:r>
            <w:r w:rsidR="006D4639" w:rsidRPr="006D4639">
              <w:rPr>
                <w:rFonts w:ascii="Calibri" w:eastAsia="Calibri" w:hAnsi="Calibri" w:cs="Calibri"/>
                <w:b/>
                <w:bCs/>
                <w:color w:val="808080"/>
                <w:sz w:val="36"/>
                <w:lang w:val="it-IT"/>
              </w:rPr>
              <w:t>Mid-</w:t>
            </w:r>
            <w:r>
              <w:rPr>
                <w:rFonts w:ascii="Calibri" w:eastAsia="Calibri" w:hAnsi="Calibri" w:cs="Calibri"/>
                <w:b/>
                <w:bCs/>
                <w:color w:val="808080"/>
                <w:sz w:val="36"/>
                <w:lang w:val="it-IT"/>
              </w:rPr>
              <w:t xml:space="preserve">Small </w:t>
            </w:r>
            <w:r w:rsidR="006D4639" w:rsidRPr="006D4639">
              <w:rPr>
                <w:rFonts w:ascii="Calibri" w:eastAsia="Calibri" w:hAnsi="Calibri" w:cs="Calibri"/>
                <w:b/>
                <w:bCs/>
                <w:color w:val="808080"/>
                <w:sz w:val="36"/>
                <w:lang w:val="it-IT"/>
              </w:rPr>
              <w:t>Cap</w:t>
            </w:r>
            <w:r w:rsidR="006D4639">
              <w:rPr>
                <w:rFonts w:ascii="Calibri" w:eastAsia="Calibri" w:hAnsi="Calibri" w:cs="Calibri"/>
                <w:b/>
                <w:bCs/>
                <w:color w:val="808080"/>
                <w:sz w:val="36"/>
                <w:lang w:val="it-IT"/>
              </w:rPr>
              <w:t xml:space="preserve">: il </w:t>
            </w:r>
            <w:r w:rsidR="006D4639" w:rsidRPr="006D4639">
              <w:rPr>
                <w:rFonts w:ascii="Calibri" w:eastAsia="Calibri" w:hAnsi="Calibri" w:cs="Calibri"/>
                <w:b/>
                <w:bCs/>
                <w:color w:val="808080"/>
                <w:sz w:val="36"/>
                <w:lang w:val="it-IT"/>
              </w:rPr>
              <w:t xml:space="preserve">rimbalzo </w:t>
            </w:r>
            <w:r>
              <w:rPr>
                <w:rFonts w:ascii="Calibri" w:eastAsia="Calibri" w:hAnsi="Calibri" w:cs="Calibri"/>
                <w:b/>
                <w:bCs/>
                <w:color w:val="808080"/>
                <w:sz w:val="36"/>
                <w:lang w:val="it-IT"/>
              </w:rPr>
              <w:t>dovrebbe proseguire nel 2024</w:t>
            </w:r>
          </w:p>
        </w:tc>
      </w:tr>
    </w:tbl>
    <w:p w14:paraId="4FAA340A" w14:textId="5F549C8A" w:rsidR="00E5199B" w:rsidRDefault="00E5199B" w:rsidP="00E5199B">
      <w:pPr>
        <w:pStyle w:val="Nessunaspaziatura"/>
        <w:jc w:val="both"/>
        <w:rPr>
          <w:b/>
          <w:bCs/>
          <w:sz w:val="28"/>
          <w:szCs w:val="28"/>
        </w:rPr>
      </w:pPr>
    </w:p>
    <w:p w14:paraId="4F9B47F6" w14:textId="7F5882AA" w:rsidR="00E5199B" w:rsidRPr="006D4639" w:rsidRDefault="00E5199B" w:rsidP="00E5199B">
      <w:pPr>
        <w:pStyle w:val="Nessunaspaziatura"/>
        <w:jc w:val="both"/>
        <w:rPr>
          <w:i/>
          <w:iCs/>
          <w:lang w:val="en-US"/>
        </w:rPr>
      </w:pPr>
      <w:r w:rsidRPr="006D4639">
        <w:rPr>
          <w:i/>
          <w:iCs/>
          <w:lang w:val="en-US"/>
        </w:rPr>
        <w:t xml:space="preserve">A cura </w:t>
      </w:r>
      <w:r w:rsidR="00E6267D" w:rsidRPr="006D4639">
        <w:rPr>
          <w:i/>
          <w:iCs/>
          <w:lang w:val="en-US"/>
        </w:rPr>
        <w:t xml:space="preserve">di </w:t>
      </w:r>
      <w:r w:rsidR="00BC5658" w:rsidRPr="006D4639">
        <w:rPr>
          <w:i/>
          <w:iCs/>
          <w:lang w:val="en-US"/>
        </w:rPr>
        <w:t>Andrea Randone, Head of Mid Small Cap Research di Intermonte</w:t>
      </w:r>
    </w:p>
    <w:p w14:paraId="08A7A6F9" w14:textId="77777777" w:rsidR="00DC0BA7" w:rsidRPr="006D4639" w:rsidRDefault="00DC0BA7" w:rsidP="00DC0BA7">
      <w:pPr>
        <w:spacing w:after="120" w:line="250" w:lineRule="exact"/>
        <w:rPr>
          <w:b/>
          <w:bCs/>
          <w:lang w:val="en-US"/>
        </w:rPr>
      </w:pPr>
    </w:p>
    <w:p w14:paraId="78EAC2F3" w14:textId="3FB9CAEA" w:rsidR="00A6678F" w:rsidRDefault="004C315F" w:rsidP="000E40D7">
      <w:pPr>
        <w:pStyle w:val="Bullets"/>
        <w:numPr>
          <w:ilvl w:val="0"/>
          <w:numId w:val="23"/>
        </w:numPr>
        <w:spacing w:line="240" w:lineRule="auto"/>
        <w:ind w:left="426"/>
        <w:rPr>
          <w:spacing w:val="-4"/>
          <w:sz w:val="22"/>
          <w:szCs w:val="22"/>
        </w:rPr>
      </w:pPr>
      <w:r w:rsidRPr="007A5510">
        <w:rPr>
          <w:b/>
          <w:bCs/>
          <w:spacing w:val="-4"/>
          <w:sz w:val="22"/>
          <w:szCs w:val="22"/>
        </w:rPr>
        <w:t>Performance (</w:t>
      </w:r>
      <w:r w:rsidR="00A6678F">
        <w:rPr>
          <w:b/>
          <w:bCs/>
          <w:spacing w:val="-4"/>
          <w:sz w:val="22"/>
          <w:szCs w:val="22"/>
        </w:rPr>
        <w:t>+</w:t>
      </w:r>
      <w:r w:rsidRPr="007A5510">
        <w:rPr>
          <w:b/>
          <w:bCs/>
          <w:spacing w:val="-4"/>
          <w:sz w:val="22"/>
          <w:szCs w:val="22"/>
        </w:rPr>
        <w:t>).</w:t>
      </w:r>
      <w:r w:rsidRPr="007A5510">
        <w:rPr>
          <w:spacing w:val="-4"/>
          <w:sz w:val="22"/>
          <w:szCs w:val="22"/>
        </w:rPr>
        <w:t xml:space="preserve"> </w:t>
      </w:r>
      <w:r w:rsidR="000A7197" w:rsidRPr="000A7197">
        <w:rPr>
          <w:spacing w:val="-4"/>
          <w:sz w:val="22"/>
          <w:szCs w:val="22"/>
        </w:rPr>
        <w:t>Il mercato azionario italiano (prezzi al 15 dicembre 2023) è salito del 3,2% nell'ultimo mese ed è in rialzo del 26,1% su base annua. L'indice FTSE Italy Mid-Cap (+4,8%) ha sovraperformato l'indice principale dell'1,6% nell'ultimo mese (-14,8% su base annua), mentre l'indice FTSE Italy Small Caps (+4,5%) ha registrato una performance dell'1,3% superiore al mercato e del -28,4% su base relativa dall'inizio del 2023. Guardando alle performance delle mid/small cap in Europa, l'indice MSCI Europe Small Caps è salito del 5,6% nell'ultimo mese, registrando una performance leggermente migliore rispetto alle mid-cap italiane.</w:t>
      </w:r>
    </w:p>
    <w:p w14:paraId="58576911" w14:textId="6FACA8A1" w:rsidR="00D5152B" w:rsidRDefault="006D11BB" w:rsidP="000E40D7">
      <w:pPr>
        <w:pStyle w:val="Bullets"/>
        <w:numPr>
          <w:ilvl w:val="0"/>
          <w:numId w:val="23"/>
        </w:numPr>
        <w:spacing w:line="240" w:lineRule="auto"/>
        <w:ind w:left="426"/>
        <w:rPr>
          <w:spacing w:val="-4"/>
          <w:sz w:val="22"/>
          <w:szCs w:val="22"/>
        </w:rPr>
      </w:pPr>
      <w:r w:rsidRPr="00D5152B">
        <w:rPr>
          <w:b/>
          <w:bCs/>
          <w:spacing w:val="-4"/>
          <w:sz w:val="22"/>
          <w:szCs w:val="22"/>
        </w:rPr>
        <w:t>Stime (</w:t>
      </w:r>
      <w:r w:rsidR="000A7197">
        <w:rPr>
          <w:b/>
          <w:bCs/>
          <w:spacing w:val="-4"/>
          <w:sz w:val="22"/>
          <w:szCs w:val="22"/>
        </w:rPr>
        <w:t>+</w:t>
      </w:r>
      <w:r w:rsidR="000A7197">
        <w:rPr>
          <w:b/>
          <w:bCs/>
          <w:spacing w:val="-4"/>
          <w:sz w:val="22"/>
          <w:szCs w:val="22"/>
        </w:rPr>
        <w:t>/-</w:t>
      </w:r>
      <w:r w:rsidRPr="00D5152B">
        <w:rPr>
          <w:b/>
          <w:bCs/>
          <w:spacing w:val="-4"/>
          <w:sz w:val="22"/>
          <w:szCs w:val="22"/>
        </w:rPr>
        <w:t>).</w:t>
      </w:r>
      <w:r w:rsidRPr="00D5152B">
        <w:rPr>
          <w:spacing w:val="-4"/>
          <w:sz w:val="22"/>
          <w:szCs w:val="22"/>
        </w:rPr>
        <w:t xml:space="preserve"> </w:t>
      </w:r>
      <w:r w:rsidR="002868C0" w:rsidRPr="002868C0">
        <w:rPr>
          <w:spacing w:val="-4"/>
          <w:sz w:val="22"/>
          <w:szCs w:val="22"/>
        </w:rPr>
        <w:t>Dall'inizio del 2023, abbiamo attuato una revisione al rialzo del +19,0% delle nostre stime sugli EPS per il 2023, mentre la revisione è stata più contenuta (+10,6%) sugli EPS per il 2024; concentrandoci sulla nostra copertura mid/small cap, invece, dal 1° gennaio 2023 abbiamo aumentato gli EPS 2023 di appena il 5,9%. In particolare, nell'ultimo mese abbiamo ridotto le nostre stime per i titoli del FTSE MIB (-0,3% sugli EPS 2023) e in modo più marcato per i titoli del FTSE Small (-5,5%), mentre abbiamo marginalmente migliorato le nostre previsioni per le mid-cap (+1,2%).</w:t>
      </w:r>
    </w:p>
    <w:p w14:paraId="1494C2D6" w14:textId="0D996140" w:rsidR="002868C0" w:rsidRPr="002868C0" w:rsidRDefault="00E542BA" w:rsidP="000E40D7">
      <w:pPr>
        <w:pStyle w:val="Bullets"/>
        <w:numPr>
          <w:ilvl w:val="0"/>
          <w:numId w:val="17"/>
        </w:numPr>
        <w:spacing w:line="240" w:lineRule="auto"/>
        <w:ind w:left="426"/>
        <w:rPr>
          <w:spacing w:val="-4"/>
          <w:sz w:val="22"/>
          <w:szCs w:val="22"/>
        </w:rPr>
      </w:pPr>
      <w:r w:rsidRPr="008821D6">
        <w:rPr>
          <w:b/>
          <w:bCs/>
          <w:spacing w:val="-4"/>
          <w:sz w:val="22"/>
          <w:szCs w:val="22"/>
        </w:rPr>
        <w:t xml:space="preserve">Valutazioni </w:t>
      </w:r>
      <w:r w:rsidR="00DC24E2" w:rsidRPr="008821D6">
        <w:rPr>
          <w:b/>
          <w:bCs/>
          <w:spacing w:val="-4"/>
          <w:sz w:val="22"/>
          <w:szCs w:val="22"/>
        </w:rPr>
        <w:t>(</w:t>
      </w:r>
      <w:r w:rsidR="00A6678F" w:rsidRPr="008821D6">
        <w:rPr>
          <w:b/>
          <w:bCs/>
          <w:spacing w:val="-4"/>
          <w:sz w:val="22"/>
          <w:szCs w:val="22"/>
        </w:rPr>
        <w:t>-</w:t>
      </w:r>
      <w:r w:rsidRPr="008821D6">
        <w:rPr>
          <w:b/>
          <w:bCs/>
          <w:spacing w:val="-4"/>
          <w:sz w:val="22"/>
          <w:szCs w:val="22"/>
        </w:rPr>
        <w:t>).</w:t>
      </w:r>
      <w:r w:rsidR="00A638D1" w:rsidRPr="008821D6">
        <w:rPr>
          <w:b/>
          <w:bCs/>
          <w:spacing w:val="-4"/>
          <w:sz w:val="22"/>
          <w:szCs w:val="22"/>
        </w:rPr>
        <w:t xml:space="preserve"> </w:t>
      </w:r>
      <w:r w:rsidR="002868C0" w:rsidRPr="002868C0">
        <w:rPr>
          <w:spacing w:val="-4"/>
          <w:sz w:val="22"/>
          <w:szCs w:val="22"/>
        </w:rPr>
        <w:t xml:space="preserve">Se confrontiamo la performance YtD con la variazione delle stime per l'esercizio ‘23 nello stesso periodo, vediamo che i titoli del FTSE MIB hanno registrato un re-rating YtD del 7,9% (la stessa metrica era +3,2% un mese fa); le mid-cap si sono rivalutate dell'1,5%, mentre le small cap del 27,3%. Su base P/E, il nostro panel è scambiato con un premio del 35% rispetto alle large cap, ben al di sopra del premio medio storico (17%) e </w:t>
      </w:r>
      <w:r w:rsidR="002868C0">
        <w:rPr>
          <w:spacing w:val="-4"/>
          <w:sz w:val="22"/>
          <w:szCs w:val="22"/>
        </w:rPr>
        <w:t>del</w:t>
      </w:r>
      <w:r w:rsidR="002868C0" w:rsidRPr="002868C0">
        <w:rPr>
          <w:spacing w:val="-4"/>
          <w:sz w:val="22"/>
          <w:szCs w:val="22"/>
        </w:rPr>
        <w:t xml:space="preserve"> livello di un mese fa (31%).</w:t>
      </w:r>
    </w:p>
    <w:p w14:paraId="16F0F849" w14:textId="77777777" w:rsidR="0098513F" w:rsidRDefault="008104DC" w:rsidP="000E40D7">
      <w:pPr>
        <w:pStyle w:val="Bullets"/>
        <w:numPr>
          <w:ilvl w:val="0"/>
          <w:numId w:val="17"/>
        </w:numPr>
        <w:spacing w:line="240" w:lineRule="auto"/>
        <w:ind w:left="426"/>
        <w:rPr>
          <w:spacing w:val="-4"/>
          <w:sz w:val="22"/>
          <w:szCs w:val="22"/>
        </w:rPr>
      </w:pPr>
      <w:r w:rsidRPr="0098513F">
        <w:rPr>
          <w:b/>
          <w:bCs/>
          <w:spacing w:val="-4"/>
          <w:sz w:val="22"/>
          <w:szCs w:val="22"/>
        </w:rPr>
        <w:t>Liquidità (</w:t>
      </w:r>
      <w:r w:rsidR="008F24E3" w:rsidRPr="0098513F">
        <w:rPr>
          <w:b/>
          <w:bCs/>
          <w:spacing w:val="-4"/>
          <w:sz w:val="22"/>
          <w:szCs w:val="22"/>
        </w:rPr>
        <w:t>+</w:t>
      </w:r>
      <w:r w:rsidRPr="0098513F">
        <w:rPr>
          <w:b/>
          <w:bCs/>
          <w:spacing w:val="-4"/>
          <w:sz w:val="22"/>
          <w:szCs w:val="22"/>
        </w:rPr>
        <w:t>).</w:t>
      </w:r>
      <w:r w:rsidR="00FD5113" w:rsidRPr="0098513F">
        <w:rPr>
          <w:b/>
          <w:bCs/>
          <w:spacing w:val="-4"/>
          <w:sz w:val="22"/>
          <w:szCs w:val="22"/>
        </w:rPr>
        <w:t xml:space="preserve"> </w:t>
      </w:r>
      <w:r w:rsidR="0098513F" w:rsidRPr="002868C0">
        <w:rPr>
          <w:spacing w:val="-4"/>
          <w:sz w:val="22"/>
          <w:szCs w:val="22"/>
        </w:rPr>
        <w:t xml:space="preserve">Osservando l'andamento </w:t>
      </w:r>
      <w:r w:rsidR="0098513F" w:rsidRPr="00D733B1">
        <w:rPr>
          <w:spacing w:val="-4"/>
          <w:sz w:val="22"/>
          <w:szCs w:val="22"/>
        </w:rPr>
        <w:t>degli indici ufficiali italiani</w:t>
      </w:r>
      <w:r w:rsidR="0098513F" w:rsidRPr="002868C0">
        <w:rPr>
          <w:spacing w:val="-4"/>
          <w:sz w:val="22"/>
          <w:szCs w:val="22"/>
        </w:rPr>
        <w:t xml:space="preserve">, notiamo che la liquidità delle large cap nell'ultimo mese (misurata moltiplicando i volumi medi per i prezzi medi in un determinato periodo) è superiore del 34,1% rispetto </w:t>
      </w:r>
      <w:r w:rsidR="0098513F" w:rsidRPr="00D733B1">
        <w:rPr>
          <w:spacing w:val="-4"/>
          <w:sz w:val="22"/>
          <w:szCs w:val="22"/>
        </w:rPr>
        <w:t>allo stesso periodo di un anno fa</w:t>
      </w:r>
      <w:r w:rsidR="0098513F" w:rsidRPr="002868C0">
        <w:rPr>
          <w:spacing w:val="-4"/>
          <w:sz w:val="22"/>
          <w:szCs w:val="22"/>
        </w:rPr>
        <w:t xml:space="preserve">, </w:t>
      </w:r>
      <w:r w:rsidR="0098513F" w:rsidRPr="00D733B1">
        <w:rPr>
          <w:spacing w:val="-4"/>
          <w:sz w:val="22"/>
          <w:szCs w:val="22"/>
        </w:rPr>
        <w:t xml:space="preserve">ma è in crescita solo del </w:t>
      </w:r>
      <w:r w:rsidR="0098513F" w:rsidRPr="002868C0">
        <w:rPr>
          <w:spacing w:val="-4"/>
          <w:sz w:val="22"/>
          <w:szCs w:val="22"/>
        </w:rPr>
        <w:t xml:space="preserve">7,5% </w:t>
      </w:r>
      <w:r w:rsidR="0098513F" w:rsidRPr="00D733B1">
        <w:rPr>
          <w:spacing w:val="-4"/>
          <w:sz w:val="22"/>
          <w:szCs w:val="22"/>
        </w:rPr>
        <w:t>a livello annuale</w:t>
      </w:r>
      <w:r w:rsidR="0098513F" w:rsidRPr="002868C0">
        <w:rPr>
          <w:spacing w:val="-4"/>
          <w:sz w:val="22"/>
          <w:szCs w:val="22"/>
        </w:rPr>
        <w:t xml:space="preserve">. Il quadro è più preoccupante per le mid/small cap: nello specifico, la liquidità </w:t>
      </w:r>
      <w:r w:rsidR="0098513F" w:rsidRPr="00D733B1">
        <w:rPr>
          <w:spacing w:val="-4"/>
          <w:sz w:val="22"/>
          <w:szCs w:val="22"/>
        </w:rPr>
        <w:t xml:space="preserve">per le mid cap </w:t>
      </w:r>
      <w:r w:rsidR="0098513F" w:rsidRPr="002868C0">
        <w:rPr>
          <w:spacing w:val="-4"/>
          <w:sz w:val="22"/>
          <w:szCs w:val="22"/>
        </w:rPr>
        <w:t xml:space="preserve">è scesa del 9,1% </w:t>
      </w:r>
      <w:r w:rsidR="0098513F" w:rsidRPr="00D733B1">
        <w:rPr>
          <w:spacing w:val="-4"/>
          <w:sz w:val="22"/>
          <w:szCs w:val="22"/>
        </w:rPr>
        <w:t>YoY</w:t>
      </w:r>
      <w:r w:rsidR="0098513F">
        <w:rPr>
          <w:spacing w:val="-4"/>
          <w:sz w:val="22"/>
          <w:szCs w:val="22"/>
        </w:rPr>
        <w:t>,</w:t>
      </w:r>
      <w:r w:rsidR="0098513F" w:rsidRPr="002868C0">
        <w:rPr>
          <w:spacing w:val="-4"/>
          <w:sz w:val="22"/>
          <w:szCs w:val="22"/>
        </w:rPr>
        <w:t xml:space="preserve"> </w:t>
      </w:r>
      <w:r w:rsidR="0098513F" w:rsidRPr="00D733B1">
        <w:rPr>
          <w:spacing w:val="-4"/>
          <w:sz w:val="22"/>
          <w:szCs w:val="22"/>
        </w:rPr>
        <w:t>mentre per le small cap è scesa del</w:t>
      </w:r>
      <w:r w:rsidR="0098513F" w:rsidRPr="002868C0">
        <w:rPr>
          <w:spacing w:val="-4"/>
          <w:sz w:val="22"/>
          <w:szCs w:val="22"/>
        </w:rPr>
        <w:t xml:space="preserve"> 13,0% </w:t>
      </w:r>
      <w:r w:rsidR="0098513F" w:rsidRPr="00D733B1">
        <w:rPr>
          <w:spacing w:val="-4"/>
          <w:sz w:val="22"/>
          <w:szCs w:val="22"/>
        </w:rPr>
        <w:t>YoY</w:t>
      </w:r>
      <w:r w:rsidR="0098513F" w:rsidRPr="002868C0">
        <w:rPr>
          <w:spacing w:val="-4"/>
          <w:sz w:val="22"/>
          <w:szCs w:val="22"/>
        </w:rPr>
        <w:t xml:space="preserve">, </w:t>
      </w:r>
      <w:r w:rsidR="0098513F" w:rsidRPr="00D733B1">
        <w:rPr>
          <w:spacing w:val="-4"/>
          <w:sz w:val="22"/>
          <w:szCs w:val="22"/>
        </w:rPr>
        <w:t>nonostante il miglioramento dell'ultimo mese</w:t>
      </w:r>
      <w:r w:rsidR="0098513F" w:rsidRPr="002868C0">
        <w:rPr>
          <w:spacing w:val="-4"/>
          <w:sz w:val="22"/>
          <w:szCs w:val="22"/>
        </w:rPr>
        <w:t xml:space="preserve">, </w:t>
      </w:r>
      <w:r w:rsidR="0098513F" w:rsidRPr="008821D6">
        <w:rPr>
          <w:spacing w:val="-4"/>
          <w:sz w:val="22"/>
          <w:szCs w:val="22"/>
        </w:rPr>
        <w:t xml:space="preserve">dovuto soprattutto al più favorevole confronto su base annua.    </w:t>
      </w:r>
      <w:r w:rsidR="0098513F">
        <w:rPr>
          <w:spacing w:val="-4"/>
          <w:sz w:val="22"/>
          <w:szCs w:val="22"/>
        </w:rPr>
        <w:t xml:space="preserve"> </w:t>
      </w:r>
      <w:r w:rsidR="0098513F" w:rsidRPr="008821D6">
        <w:rPr>
          <w:spacing w:val="-4"/>
          <w:sz w:val="22"/>
          <w:szCs w:val="22"/>
        </w:rPr>
        <w:t xml:space="preserve"> </w:t>
      </w:r>
    </w:p>
    <w:p w14:paraId="7D6DFB3E" w14:textId="365F408C" w:rsidR="00A365D2" w:rsidRPr="0098513F" w:rsidRDefault="0098513F" w:rsidP="000E40D7">
      <w:pPr>
        <w:pStyle w:val="Bullets"/>
        <w:numPr>
          <w:ilvl w:val="0"/>
          <w:numId w:val="17"/>
        </w:numPr>
        <w:spacing w:after="0" w:line="240" w:lineRule="auto"/>
        <w:ind w:left="426"/>
        <w:rPr>
          <w:rFonts w:asciiTheme="minorHAnsi" w:hAnsiTheme="minorHAnsi" w:cstheme="minorHAnsi"/>
          <w:color w:val="auto"/>
          <w:sz w:val="22"/>
          <w:szCs w:val="22"/>
        </w:rPr>
      </w:pPr>
      <w:r w:rsidRPr="0098513F">
        <w:rPr>
          <w:b/>
          <w:bCs/>
          <w:color w:val="auto"/>
          <w:spacing w:val="-4"/>
          <w:sz w:val="22"/>
          <w:szCs w:val="22"/>
        </w:rPr>
        <w:t>S</w:t>
      </w:r>
      <w:r w:rsidR="00DA424B" w:rsidRPr="0098513F">
        <w:rPr>
          <w:b/>
          <w:bCs/>
          <w:color w:val="auto"/>
          <w:spacing w:val="-4"/>
          <w:sz w:val="22"/>
          <w:szCs w:val="22"/>
        </w:rPr>
        <w:t>trategia d’investimento.</w:t>
      </w:r>
      <w:r w:rsidR="00DA424B" w:rsidRPr="0098513F">
        <w:rPr>
          <w:color w:val="auto"/>
          <w:spacing w:val="-4"/>
          <w:sz w:val="22"/>
          <w:szCs w:val="22"/>
        </w:rPr>
        <w:t xml:space="preserve"> </w:t>
      </w:r>
      <w:r w:rsidRPr="0098513F">
        <w:rPr>
          <w:sz w:val="22"/>
          <w:szCs w:val="22"/>
        </w:rPr>
        <w:t>Nell’ultimo mese, le società</w:t>
      </w:r>
      <w:r w:rsidR="000E40D7" w:rsidRPr="000E40D7">
        <w:rPr>
          <w:sz w:val="22"/>
          <w:szCs w:val="22"/>
        </w:rPr>
        <w:t xml:space="preserve"> </w:t>
      </w:r>
      <w:r w:rsidR="000E40D7" w:rsidRPr="0098513F">
        <w:rPr>
          <w:sz w:val="22"/>
          <w:szCs w:val="22"/>
        </w:rPr>
        <w:t>italiane</w:t>
      </w:r>
      <w:r w:rsidRPr="0098513F">
        <w:rPr>
          <w:sz w:val="22"/>
          <w:szCs w:val="22"/>
        </w:rPr>
        <w:t xml:space="preserve"> a media capitalizzazione hanno </w:t>
      </w:r>
      <w:r w:rsidR="000E40D7">
        <w:rPr>
          <w:sz w:val="22"/>
          <w:szCs w:val="22"/>
        </w:rPr>
        <w:t>proseguito</w:t>
      </w:r>
      <w:r w:rsidRPr="0098513F">
        <w:rPr>
          <w:sz w:val="22"/>
          <w:szCs w:val="22"/>
        </w:rPr>
        <w:t xml:space="preserve"> su un trend rialzista, sostenuto dall’anticipazione dei tagli dei tassi </w:t>
      </w:r>
      <w:r w:rsidR="000E40D7">
        <w:rPr>
          <w:sz w:val="22"/>
          <w:szCs w:val="22"/>
        </w:rPr>
        <w:t>che si prevede la</w:t>
      </w:r>
      <w:r w:rsidRPr="0098513F">
        <w:rPr>
          <w:sz w:val="22"/>
          <w:szCs w:val="22"/>
        </w:rPr>
        <w:t xml:space="preserve"> Federal Reserve </w:t>
      </w:r>
      <w:r w:rsidR="000E40D7">
        <w:rPr>
          <w:sz w:val="22"/>
          <w:szCs w:val="22"/>
        </w:rPr>
        <w:t xml:space="preserve">effettuerà </w:t>
      </w:r>
      <w:r w:rsidRPr="0098513F">
        <w:rPr>
          <w:sz w:val="22"/>
          <w:szCs w:val="22"/>
        </w:rPr>
        <w:t xml:space="preserve">nel 2024. Tuttavia, la BCE ha fornito indicazioni più prudenti e le importanti emissioni pianificate </w:t>
      </w:r>
      <w:r w:rsidR="000E40D7">
        <w:rPr>
          <w:sz w:val="22"/>
          <w:szCs w:val="22"/>
        </w:rPr>
        <w:t>per il primo trimestre 2024</w:t>
      </w:r>
      <w:r w:rsidRPr="0098513F">
        <w:rPr>
          <w:sz w:val="22"/>
          <w:szCs w:val="22"/>
        </w:rPr>
        <w:t xml:space="preserve"> suggeriscono la probabilità di alcuni alti e bassi per quanto riguarda la curva dei rendimenti. In Italia, il margine di manovra sulla Legge di Bilancio sembra limitato, il che implica</w:t>
      </w:r>
      <w:r w:rsidR="003D4AFE">
        <w:rPr>
          <w:sz w:val="22"/>
          <w:szCs w:val="22"/>
        </w:rPr>
        <w:t xml:space="preserve"> presumibilmente un altrettanto limitato impatto del</w:t>
      </w:r>
      <w:r w:rsidRPr="0098513F">
        <w:rPr>
          <w:sz w:val="22"/>
          <w:szCs w:val="22"/>
        </w:rPr>
        <w:t xml:space="preserve"> tema politico sui mercati azionari. Per quanto riguarda gli andamenti operativi, i risultati del 3Q23 hanno offerto indicazioni relativamente confortanti, sottolineando in molti casi l'attrattiva fondamentale di varie società, anche se con qualche delusione tra alcune aziende industriali e di consumo che soffrono del rallentamento economico in corso. In questo </w:t>
      </w:r>
      <w:r w:rsidRPr="0098513F">
        <w:rPr>
          <w:sz w:val="22"/>
          <w:szCs w:val="22"/>
        </w:rPr>
        <w:lastRenderedPageBreak/>
        <w:t xml:space="preserve">scenario, consigliamo di aumentare il peso dei titoli a media capitalizzazione, soprattutto quelli che offrono una buona generazione di cassa. Nonostante il rimbalzo, i titoli tecnologici sembrano ancora interessanti, insieme ad alcune utilities e ad alcune aziende che possono contare su un significativo portafoglio ordini. In termini di flussi PIR, </w:t>
      </w:r>
      <w:r w:rsidR="008343C0" w:rsidRPr="0098513F">
        <w:rPr>
          <w:sz w:val="22"/>
          <w:szCs w:val="22"/>
        </w:rPr>
        <w:t xml:space="preserve">nei primi 10 mesi </w:t>
      </w:r>
      <w:r w:rsidR="008343C0">
        <w:rPr>
          <w:sz w:val="22"/>
          <w:szCs w:val="22"/>
        </w:rPr>
        <w:t xml:space="preserve">dell’anno </w:t>
      </w:r>
      <w:r w:rsidRPr="0098513F">
        <w:rPr>
          <w:sz w:val="22"/>
          <w:szCs w:val="22"/>
        </w:rPr>
        <w:t>i riscatti hanno superato i 2</w:t>
      </w:r>
      <w:r w:rsidR="008343C0">
        <w:rPr>
          <w:sz w:val="22"/>
          <w:szCs w:val="22"/>
        </w:rPr>
        <w:t>,</w:t>
      </w:r>
      <w:r w:rsidRPr="0098513F">
        <w:rPr>
          <w:sz w:val="22"/>
          <w:szCs w:val="22"/>
        </w:rPr>
        <w:t>3</w:t>
      </w:r>
      <w:r w:rsidR="008343C0">
        <w:rPr>
          <w:sz w:val="22"/>
          <w:szCs w:val="22"/>
        </w:rPr>
        <w:t xml:space="preserve"> miliardi di euro</w:t>
      </w:r>
      <w:r w:rsidRPr="0098513F">
        <w:rPr>
          <w:sz w:val="22"/>
          <w:szCs w:val="22"/>
        </w:rPr>
        <w:t xml:space="preserve"> e la visibilità </w:t>
      </w:r>
      <w:r w:rsidR="008343C0">
        <w:rPr>
          <w:sz w:val="22"/>
          <w:szCs w:val="22"/>
        </w:rPr>
        <w:t>su</w:t>
      </w:r>
      <w:r w:rsidRPr="0098513F">
        <w:rPr>
          <w:sz w:val="22"/>
          <w:szCs w:val="22"/>
        </w:rPr>
        <w:t xml:space="preserve"> un'</w:t>
      </w:r>
      <w:r w:rsidR="008343C0">
        <w:rPr>
          <w:sz w:val="22"/>
          <w:szCs w:val="22"/>
        </w:rPr>
        <w:t xml:space="preserve">eventuale </w:t>
      </w:r>
      <w:r w:rsidRPr="0098513F">
        <w:rPr>
          <w:sz w:val="22"/>
          <w:szCs w:val="22"/>
        </w:rPr>
        <w:t>inversione di tendenza resta bassa. La recente modifica normativa che consente agli investitori di detenere più di un piano di risparmio personale (PIR) potrebbe favorire una ripresa di questo importante strumento.</w:t>
      </w:r>
    </w:p>
    <w:p w14:paraId="2AD213D3" w14:textId="77777777" w:rsidR="0098513F" w:rsidRDefault="0098513F" w:rsidP="00E24AA8">
      <w:pPr>
        <w:pStyle w:val="Bullets"/>
        <w:numPr>
          <w:ilvl w:val="0"/>
          <w:numId w:val="0"/>
        </w:numPr>
        <w:spacing w:after="0" w:line="240" w:lineRule="auto"/>
        <w:ind w:left="426"/>
        <w:rPr>
          <w:rFonts w:asciiTheme="minorHAnsi" w:hAnsiTheme="minorHAnsi" w:cstheme="minorHAnsi"/>
          <w:color w:val="auto"/>
          <w:sz w:val="22"/>
          <w:szCs w:val="22"/>
        </w:rPr>
      </w:pPr>
    </w:p>
    <w:p w14:paraId="39D16206" w14:textId="2F15261A" w:rsidR="00AE26CB" w:rsidRPr="00DA424B" w:rsidRDefault="006C0556" w:rsidP="00DA424B">
      <w:pPr>
        <w:spacing w:after="0" w:line="240" w:lineRule="auto"/>
        <w:jc w:val="both"/>
        <w:rPr>
          <w:b/>
          <w:bCs/>
          <w:color w:val="AEAAAA" w:themeColor="background2" w:themeShade="BF"/>
        </w:rPr>
      </w:pPr>
      <w:r>
        <w:rPr>
          <w:b/>
          <w:bCs/>
          <w:color w:val="AEAAAA" w:themeColor="background2" w:themeShade="BF"/>
        </w:rPr>
        <w:t xml:space="preserve">I </w:t>
      </w:r>
      <w:r w:rsidR="008327BA" w:rsidRPr="00DA424B">
        <w:rPr>
          <w:b/>
          <w:bCs/>
          <w:color w:val="AEAAAA" w:themeColor="background2" w:themeShade="BF"/>
        </w:rPr>
        <w:t xml:space="preserve">deflussi </w:t>
      </w:r>
      <w:r w:rsidR="00E57DCD" w:rsidRPr="00DA424B">
        <w:rPr>
          <w:b/>
          <w:bCs/>
          <w:color w:val="AEAAAA" w:themeColor="background2" w:themeShade="BF"/>
        </w:rPr>
        <w:t>dai PIR</w:t>
      </w:r>
      <w:r w:rsidR="00147ED7">
        <w:rPr>
          <w:b/>
          <w:bCs/>
          <w:color w:val="AEAAAA" w:themeColor="background2" w:themeShade="BF"/>
        </w:rPr>
        <w:t xml:space="preserve"> sono proseguiti anche in </w:t>
      </w:r>
      <w:r w:rsidR="00443464">
        <w:rPr>
          <w:b/>
          <w:bCs/>
          <w:color w:val="AEAAAA" w:themeColor="background2" w:themeShade="BF"/>
        </w:rPr>
        <w:t>ottobre</w:t>
      </w:r>
    </w:p>
    <w:p w14:paraId="329D7CF1" w14:textId="6BECE1F4" w:rsidR="00EA3C05" w:rsidRDefault="005F5CA2" w:rsidP="00CC4A2A">
      <w:pPr>
        <w:pStyle w:val="Nessunaspaziatura"/>
        <w:jc w:val="both"/>
      </w:pPr>
      <w:r>
        <w:t xml:space="preserve">Nella sua revisione trimestrale del </w:t>
      </w:r>
      <w:r w:rsidR="008B74DF">
        <w:t>22</w:t>
      </w:r>
      <w:r w:rsidR="00E10778">
        <w:t xml:space="preserve"> </w:t>
      </w:r>
      <w:r w:rsidR="008B74DF">
        <w:t>novembre</w:t>
      </w:r>
      <w:r>
        <w:t xml:space="preserve"> 2023, </w:t>
      </w:r>
      <w:r w:rsidRPr="005F5CA2">
        <w:rPr>
          <w:b/>
          <w:bCs/>
        </w:rPr>
        <w:t xml:space="preserve">Assogestioni ha pubblicato i dati aggiornati sulla raccolta PIR del </w:t>
      </w:r>
      <w:r w:rsidR="00632B7A">
        <w:rPr>
          <w:b/>
          <w:bCs/>
        </w:rPr>
        <w:t>terzo</w:t>
      </w:r>
      <w:r w:rsidRPr="005F5CA2">
        <w:rPr>
          <w:b/>
          <w:bCs/>
        </w:rPr>
        <w:t xml:space="preserve"> trimestre ‘23. Nel corso del trimestre, i PIR ordinari hanno registrato deflussi per </w:t>
      </w:r>
      <w:r w:rsidR="00632B7A">
        <w:rPr>
          <w:b/>
          <w:bCs/>
        </w:rPr>
        <w:t>731</w:t>
      </w:r>
      <w:r w:rsidRPr="005F5CA2">
        <w:rPr>
          <w:b/>
          <w:bCs/>
        </w:rPr>
        <w:t xml:space="preserve"> milioni di euro, mentre i PIR alternativi hanno registrato afflussi per </w:t>
      </w:r>
      <w:r w:rsidR="00F85908">
        <w:rPr>
          <w:b/>
          <w:bCs/>
        </w:rPr>
        <w:t>7</w:t>
      </w:r>
      <w:r w:rsidR="00632B7A">
        <w:rPr>
          <w:b/>
          <w:bCs/>
        </w:rPr>
        <w:t>,5</w:t>
      </w:r>
      <w:r w:rsidRPr="005F5CA2">
        <w:rPr>
          <w:b/>
          <w:bCs/>
        </w:rPr>
        <w:t xml:space="preserve"> milioni di euro.</w:t>
      </w:r>
      <w:r>
        <w:t xml:space="preserve"> In termini di AuM, i PIR ordinari hanno gestito 1</w:t>
      </w:r>
      <w:r w:rsidR="008B5B59">
        <w:t>6</w:t>
      </w:r>
      <w:r>
        <w:t>,</w:t>
      </w:r>
      <w:r w:rsidR="008B5B59">
        <w:t>3</w:t>
      </w:r>
      <w:r>
        <w:t xml:space="preserve"> miliardi di euro, mentre 1,5 miliardi di euro sono stati investiti in fondi PIR alternativi. </w:t>
      </w:r>
    </w:p>
    <w:p w14:paraId="062279E0" w14:textId="58DAEE54" w:rsidR="00CC4A2A" w:rsidRDefault="00EA3C05" w:rsidP="00EA3C05">
      <w:pPr>
        <w:pStyle w:val="Nessunaspaziatura"/>
        <w:jc w:val="both"/>
        <w:rPr>
          <w:b/>
          <w:bCs/>
        </w:rPr>
      </w:pPr>
      <w:r w:rsidRPr="00CC48CF">
        <w:rPr>
          <w:b/>
          <w:bCs/>
        </w:rPr>
        <w:t>Secondo l'Osservatorio PIR</w:t>
      </w:r>
      <w:r w:rsidR="004A3BA2">
        <w:rPr>
          <w:b/>
          <w:bCs/>
        </w:rPr>
        <w:t xml:space="preserve"> de</w:t>
      </w:r>
      <w:r w:rsidR="001C6885">
        <w:rPr>
          <w:b/>
          <w:bCs/>
        </w:rPr>
        <w:t>l</w:t>
      </w:r>
      <w:r w:rsidR="004A3BA2">
        <w:rPr>
          <w:b/>
          <w:bCs/>
        </w:rPr>
        <w:t xml:space="preserve"> Sole 24 Ore</w:t>
      </w:r>
      <w:r w:rsidRPr="00CC48CF">
        <w:rPr>
          <w:b/>
          <w:bCs/>
        </w:rPr>
        <w:t xml:space="preserve">, i </w:t>
      </w:r>
      <w:r w:rsidR="00CC4A2A">
        <w:rPr>
          <w:b/>
          <w:bCs/>
        </w:rPr>
        <w:t xml:space="preserve">dati sui </w:t>
      </w:r>
      <w:r w:rsidRPr="00CC48CF">
        <w:rPr>
          <w:b/>
          <w:bCs/>
        </w:rPr>
        <w:t>deflussi</w:t>
      </w:r>
      <w:r w:rsidR="00CC4A2A">
        <w:rPr>
          <w:b/>
          <w:bCs/>
        </w:rPr>
        <w:t xml:space="preserve"> in </w:t>
      </w:r>
      <w:r w:rsidR="00FF7A64">
        <w:rPr>
          <w:b/>
          <w:bCs/>
        </w:rPr>
        <w:t>ottobre</w:t>
      </w:r>
      <w:r w:rsidR="001C6885">
        <w:rPr>
          <w:b/>
          <w:bCs/>
        </w:rPr>
        <w:t xml:space="preserve"> </w:t>
      </w:r>
      <w:r w:rsidR="00CC4A2A">
        <w:rPr>
          <w:b/>
          <w:bCs/>
        </w:rPr>
        <w:t xml:space="preserve">sono rimasti poco incoraggianti, pari a </w:t>
      </w:r>
      <w:r w:rsidR="00F8278A">
        <w:rPr>
          <w:b/>
          <w:bCs/>
        </w:rPr>
        <w:t>-</w:t>
      </w:r>
      <w:r w:rsidR="00BB4AE8">
        <w:rPr>
          <w:b/>
          <w:bCs/>
        </w:rPr>
        <w:t>172,1</w:t>
      </w:r>
      <w:r w:rsidR="00CC4A2A">
        <w:rPr>
          <w:b/>
          <w:bCs/>
        </w:rPr>
        <w:t xml:space="preserve"> milioni di euro</w:t>
      </w:r>
      <w:r w:rsidR="001C6885">
        <w:rPr>
          <w:b/>
          <w:bCs/>
        </w:rPr>
        <w:t xml:space="preserve">, portando i deflussi </w:t>
      </w:r>
      <w:r w:rsidR="00BB4AE8">
        <w:rPr>
          <w:b/>
          <w:bCs/>
        </w:rPr>
        <w:t>dei primi dieci mesi dell’anno</w:t>
      </w:r>
      <w:r w:rsidR="001C6885">
        <w:rPr>
          <w:b/>
          <w:bCs/>
        </w:rPr>
        <w:t xml:space="preserve"> a un totale di </w:t>
      </w:r>
      <w:r w:rsidR="00BB4AE8">
        <w:rPr>
          <w:b/>
          <w:bCs/>
        </w:rPr>
        <w:t>2</w:t>
      </w:r>
      <w:r w:rsidR="001C6885" w:rsidRPr="001C6885">
        <w:rPr>
          <w:b/>
          <w:bCs/>
        </w:rPr>
        <w:t xml:space="preserve">,3 </w:t>
      </w:r>
      <w:r w:rsidR="00BB4AE8">
        <w:rPr>
          <w:b/>
          <w:bCs/>
        </w:rPr>
        <w:t>miliardi</w:t>
      </w:r>
      <w:r w:rsidR="001C6885" w:rsidRPr="001C6885">
        <w:rPr>
          <w:b/>
          <w:bCs/>
        </w:rPr>
        <w:t xml:space="preserve"> di euro.</w:t>
      </w:r>
    </w:p>
    <w:p w14:paraId="706C2084" w14:textId="77777777" w:rsidR="005F5CA2" w:rsidRDefault="005F5CA2" w:rsidP="005E4E63">
      <w:pPr>
        <w:pStyle w:val="Nessunaspaziatura"/>
        <w:jc w:val="both"/>
      </w:pPr>
    </w:p>
    <w:p w14:paraId="31110E3B" w14:textId="3D0AFA1B" w:rsidR="00A00803" w:rsidRPr="00567214" w:rsidRDefault="00A00803" w:rsidP="00A00803">
      <w:pPr>
        <w:pStyle w:val="Nessunaspaziatura"/>
        <w:jc w:val="both"/>
      </w:pPr>
      <w:r w:rsidRPr="00567214">
        <w:t>Ricordiamo che le caratteristiche del PIR 3.0 sono le seguenti: almeno il 70% del fondo deve essere investito in titoli emessi da società quotate italiane o comunitarie con stabile organizzazione in Italia; di questo 70%, il 25% (cioè il 17,5% del totale del fondo) deve essere investito in titoli non presenti nell'indice principale (FTSE MIB nel caso di titoli quotati in Italia). La principale novità del nuovo regolamento è un investimento minimo obbligatorio del 5% del 70% (o del 3,5% del fondo totale) in small cap non quotate né nel FTSE</w:t>
      </w:r>
      <w:r>
        <w:t xml:space="preserve"> </w:t>
      </w:r>
      <w:r w:rsidRPr="00567214">
        <w:t>MIB né nel FTSE MID. Questa misura dovrebbe convogliare i flussi verso un universo di piccole imprese che si prevede possa</w:t>
      </w:r>
      <w:r>
        <w:t>no</w:t>
      </w:r>
      <w:r w:rsidRPr="00567214">
        <w:t xml:space="preserve"> trarre particolare beneficio dal rinnovato interesse degli investitori. La nuova normativa consente inoltre ai fondi pensione italiani di investire fino al 10% del loro patrimonio in fondi PIR. Il beneficio fiscale (invariato) riguarda ancora l'eliminazione dell'imposta sulle plusvalenze </w:t>
      </w:r>
      <w:r>
        <w:t>a condizione</w:t>
      </w:r>
      <w:r w:rsidRPr="00567214">
        <w:t xml:space="preserve"> che l'investimento </w:t>
      </w:r>
      <w:r>
        <w:t>sia</w:t>
      </w:r>
      <w:r w:rsidRPr="00567214">
        <w:t xml:space="preserve"> stato mantenuto nel fondo per almeno 5 anni.</w:t>
      </w:r>
    </w:p>
    <w:p w14:paraId="38EA6642" w14:textId="605F4F35" w:rsidR="00A00803" w:rsidRDefault="00A00803" w:rsidP="00A00803">
      <w:pPr>
        <w:pStyle w:val="Nessunaspaziatura"/>
        <w:jc w:val="both"/>
      </w:pPr>
      <w:r>
        <w:t>Il</w:t>
      </w:r>
      <w:r w:rsidRPr="00567214">
        <w:t xml:space="preserve"> PIR alternativo</w:t>
      </w:r>
      <w:r w:rsidR="00F6694E">
        <w:t xml:space="preserve"> </w:t>
      </w:r>
      <w:r w:rsidRPr="00567214">
        <w:t xml:space="preserve">è un </w:t>
      </w:r>
      <w:r>
        <w:t xml:space="preserve">wrapper </w:t>
      </w:r>
      <w:r w:rsidRPr="00567214">
        <w:t xml:space="preserve">con benefici fiscali simili a quelli del PIR (esenzione fiscale delle plusvalenze per gli investimenti detenuti per almeno 5 anni) e a sua volta è in grado di investire in ELTIF, fondi di private equity o fondi di private debt. A causa degli investimenti in attività illiquide (più vicine all'economia reale ma più rischiose), gli investitori </w:t>
      </w:r>
      <w:r>
        <w:t>affluent</w:t>
      </w:r>
      <w:r w:rsidRPr="00567214">
        <w:t xml:space="preserve"> sono i clienti target. L'importo massimo investibile all'anno è di 300.000 euro per persona (contro i </w:t>
      </w:r>
      <w:r w:rsidR="00EA3C05">
        <w:t>4</w:t>
      </w:r>
      <w:r w:rsidRPr="00567214">
        <w:t>0.000 euro dei PIR) fino a un massimo cumulativo di 1,5 milioni di euro per persona. Inoltre, il limite di concentrazione (cioè il massimo investimento cumulativo in un singolo titolo) è stato fissato al 20% (il 10% è il limite per i normali fondi PIR).</w:t>
      </w:r>
    </w:p>
    <w:p w14:paraId="2A535CE9" w14:textId="46FCB148" w:rsidR="00A00803" w:rsidRPr="00567214" w:rsidRDefault="00A00803" w:rsidP="00A00803">
      <w:pPr>
        <w:pStyle w:val="Nessunaspaziatura"/>
        <w:jc w:val="both"/>
      </w:pPr>
      <w:r w:rsidRPr="00567214">
        <w:t xml:space="preserve">Questi strumenti alternativi sarebbero infatti adatti a superare la volatilità del mercato, dato il loro impegno a lungo termine, e sono complementari ai fondi PIR in senso più ampio (sono pensati per investitori semi-professionali piuttosto che retail). </w:t>
      </w:r>
    </w:p>
    <w:p w14:paraId="4B8471D9" w14:textId="16CFBD30" w:rsidR="00A00803" w:rsidRDefault="00A00803" w:rsidP="003F221A">
      <w:pPr>
        <w:pStyle w:val="Nessunaspaziatura"/>
        <w:jc w:val="both"/>
      </w:pPr>
    </w:p>
    <w:p w14:paraId="658A13E9" w14:textId="1004972F" w:rsidR="00F4045E" w:rsidRDefault="008C1A98" w:rsidP="00607041">
      <w:pPr>
        <w:pStyle w:val="Nessunaspaziatura"/>
        <w:jc w:val="both"/>
        <w:rPr>
          <w:b/>
          <w:bCs/>
          <w:color w:val="AEAAAA" w:themeColor="background2" w:themeShade="BF"/>
        </w:rPr>
      </w:pPr>
      <w:r>
        <w:rPr>
          <w:b/>
          <w:bCs/>
          <w:color w:val="AEAAAA" w:themeColor="background2" w:themeShade="BF"/>
        </w:rPr>
        <w:t>S</w:t>
      </w:r>
      <w:r w:rsidR="00F4045E" w:rsidRPr="00F4045E">
        <w:rPr>
          <w:b/>
          <w:bCs/>
          <w:color w:val="AEAAAA" w:themeColor="background2" w:themeShade="BF"/>
        </w:rPr>
        <w:t xml:space="preserve">time </w:t>
      </w:r>
      <w:r w:rsidR="00385DDC">
        <w:rPr>
          <w:b/>
          <w:bCs/>
          <w:color w:val="AEAAAA" w:themeColor="background2" w:themeShade="BF"/>
        </w:rPr>
        <w:t>sui</w:t>
      </w:r>
      <w:r w:rsidR="00F4045E" w:rsidRPr="00F4045E">
        <w:rPr>
          <w:b/>
          <w:bCs/>
          <w:color w:val="AEAAAA" w:themeColor="background2" w:themeShade="BF"/>
        </w:rPr>
        <w:t xml:space="preserve"> PIR ordinari</w:t>
      </w:r>
      <w:r>
        <w:rPr>
          <w:b/>
          <w:bCs/>
          <w:color w:val="AEAAAA" w:themeColor="background2" w:themeShade="BF"/>
        </w:rPr>
        <w:t xml:space="preserve"> (ancora) ridotte</w:t>
      </w:r>
    </w:p>
    <w:p w14:paraId="3B1F2B7F" w14:textId="6F182E70" w:rsidR="00EB6983" w:rsidRDefault="00172595" w:rsidP="00B00362">
      <w:pPr>
        <w:pStyle w:val="Nessunaspaziatura"/>
        <w:jc w:val="both"/>
      </w:pPr>
      <w:r w:rsidRPr="00172595">
        <w:t xml:space="preserve">I dati di Assogestioni relativi </w:t>
      </w:r>
      <w:r w:rsidR="00AC4668">
        <w:t>ai primi nove mesi</w:t>
      </w:r>
      <w:r w:rsidRPr="00172595">
        <w:t xml:space="preserve"> del </w:t>
      </w:r>
      <w:r>
        <w:t>2023</w:t>
      </w:r>
      <w:r w:rsidRPr="00172595">
        <w:t xml:space="preserve"> mostrano </w:t>
      </w:r>
      <w:r w:rsidR="00A71728">
        <w:t>2.156</w:t>
      </w:r>
      <w:r w:rsidRPr="00172595">
        <w:t xml:space="preserve"> milioni di euro di deflussi</w:t>
      </w:r>
      <w:r w:rsidR="00607041">
        <w:t xml:space="preserve"> e i dati preliminari di mercato relativi </w:t>
      </w:r>
      <w:r w:rsidR="00A71728">
        <w:t>ad ottobre</w:t>
      </w:r>
      <w:r w:rsidR="000B17A5">
        <w:t xml:space="preserve"> (-</w:t>
      </w:r>
      <w:r w:rsidR="00A71728">
        <w:t>172,1</w:t>
      </w:r>
      <w:r w:rsidR="000B17A5">
        <w:t xml:space="preserve"> milioni di euro)</w:t>
      </w:r>
      <w:r w:rsidR="00607041">
        <w:t xml:space="preserve"> confermano questo trend negativo. </w:t>
      </w:r>
      <w:r w:rsidR="00A71728">
        <w:t xml:space="preserve">Di conseguenza, abbiamo </w:t>
      </w:r>
      <w:r w:rsidR="00A278BB">
        <w:t>ulteriormente</w:t>
      </w:r>
      <w:r w:rsidR="00A71728">
        <w:t xml:space="preserve"> ridotto l</w:t>
      </w:r>
      <w:r w:rsidRPr="00172595">
        <w:t>e nostre stime per l'anno in corso</w:t>
      </w:r>
      <w:r w:rsidR="00A278BB">
        <w:t>:</w:t>
      </w:r>
      <w:r w:rsidR="00B00362">
        <w:t xml:space="preserve"> al momento </w:t>
      </w:r>
      <w:r w:rsidR="00A278BB">
        <w:t>prevediamo</w:t>
      </w:r>
      <w:r w:rsidR="00B00362">
        <w:t xml:space="preserve"> </w:t>
      </w:r>
      <w:r>
        <w:t>deflussi pari a</w:t>
      </w:r>
      <w:r w:rsidRPr="00172595">
        <w:t xml:space="preserve"> </w:t>
      </w:r>
      <w:r w:rsidR="00A278BB">
        <w:t>2,5</w:t>
      </w:r>
      <w:r w:rsidR="00F26EBD">
        <w:t xml:space="preserve"> miliardi di euro</w:t>
      </w:r>
      <w:r w:rsidR="00B00362">
        <w:t xml:space="preserve">, </w:t>
      </w:r>
      <w:r w:rsidR="00A278BB">
        <w:t>rispetto all’1,9 miliardi delle stime precedenti</w:t>
      </w:r>
      <w:r w:rsidR="00D224A9" w:rsidRPr="00D224A9">
        <w:t>.</w:t>
      </w:r>
      <w:r>
        <w:t xml:space="preserve"> </w:t>
      </w:r>
    </w:p>
    <w:p w14:paraId="4A0A43BB" w14:textId="68486C5B" w:rsidR="00172595" w:rsidRDefault="00172595" w:rsidP="002D1BE6">
      <w:pPr>
        <w:pStyle w:val="Nessunaspaziatura"/>
        <w:jc w:val="both"/>
      </w:pPr>
      <w:r>
        <w:t xml:space="preserve">Se si guarda alle </w:t>
      </w:r>
      <w:r w:rsidR="00EB6983">
        <w:t>ragioni</w:t>
      </w:r>
      <w:r>
        <w:t xml:space="preserve"> dei riscatti dai fondi PIR, si può certamente ipotizzare che molti investitori, per via delle performance positive alla scadenza dei 5 anni (periodo di investimento minimo necessario per</w:t>
      </w:r>
      <w:r w:rsidRPr="00907FD0">
        <w:t xml:space="preserve"> godere dei benefici fiscali</w:t>
      </w:r>
      <w:r>
        <w:t xml:space="preserve"> sulle plusvalenze)</w:t>
      </w:r>
      <w:r w:rsidR="00165104">
        <w:t>, abbiano</w:t>
      </w:r>
      <w:r>
        <w:t xml:space="preserve"> deciso di incassare per poter indirizzare i </w:t>
      </w:r>
      <w:r w:rsidR="00165104">
        <w:t>propri</w:t>
      </w:r>
      <w:r>
        <w:t xml:space="preserve"> risparmi verso altri fondi e mercati</w:t>
      </w:r>
      <w:r w:rsidR="00165104">
        <w:t>.</w:t>
      </w:r>
    </w:p>
    <w:p w14:paraId="330E9CEA" w14:textId="443429B8" w:rsidR="00165104" w:rsidRPr="00172595" w:rsidRDefault="00F116E7" w:rsidP="002D1BE6">
      <w:pPr>
        <w:pStyle w:val="Nessunaspaziatura"/>
        <w:jc w:val="both"/>
      </w:pPr>
      <w:r>
        <w:t>Una nota positiva è rappresentata dall</w:t>
      </w:r>
      <w:r w:rsidR="00AA01CA">
        <w:t xml:space="preserve">a recente </w:t>
      </w:r>
      <w:r>
        <w:t>approvazione da parte del</w:t>
      </w:r>
      <w:r w:rsidR="00165104" w:rsidRPr="00165104">
        <w:t xml:space="preserve"> governo italiano </w:t>
      </w:r>
      <w:r w:rsidR="00AA01CA">
        <w:t xml:space="preserve">di un nuovo </w:t>
      </w:r>
      <w:r w:rsidR="00E70879">
        <w:t>emendamento</w:t>
      </w:r>
      <w:r w:rsidR="00AC7B95">
        <w:t xml:space="preserve"> che consente</w:t>
      </w:r>
      <w:r w:rsidR="00165104" w:rsidRPr="00165104">
        <w:t xml:space="preserve"> agli investitori di detenere più di un piano di risparmio personale (PIR).</w:t>
      </w:r>
      <w:r w:rsidR="00165104">
        <w:t xml:space="preserve"> Il piano non </w:t>
      </w:r>
      <w:r w:rsidR="00AA01CA">
        <w:t>comporterà</w:t>
      </w:r>
      <w:r w:rsidR="00165104">
        <w:t xml:space="preserve"> alcun costo aggiuntivo per il governo, poiché il tetto di investimento di 40.000 euro all'anno per persona (o 200.000 euro in 5 anni)</w:t>
      </w:r>
      <w:r w:rsidR="00A06775">
        <w:t xml:space="preserve"> </w:t>
      </w:r>
      <w:r w:rsidR="00AA01CA">
        <w:t>rimane</w:t>
      </w:r>
      <w:r w:rsidR="00165104">
        <w:t xml:space="preserve"> invariato.</w:t>
      </w:r>
      <w:r w:rsidR="009D6665">
        <w:t xml:space="preserve"> Accogliamo con grande favore questa iniziativa, che</w:t>
      </w:r>
      <w:r w:rsidR="00AA01CA">
        <w:t xml:space="preserve"> </w:t>
      </w:r>
      <w:r w:rsidR="00AA01CA">
        <w:lastRenderedPageBreak/>
        <w:t>ci auguriamo</w:t>
      </w:r>
      <w:r w:rsidR="009D6665">
        <w:t xml:space="preserve"> possa rilanciare gli afflussi verso i fondi PIR, in quanto il vantaggio di diversificare su più prodotti PIR potrebbe aumentare gli investimenti dei singoli.</w:t>
      </w:r>
    </w:p>
    <w:p w14:paraId="775D9843" w14:textId="61218777" w:rsidR="00C103E7" w:rsidRPr="007C2763" w:rsidRDefault="00C103E7" w:rsidP="002D1BE6">
      <w:pPr>
        <w:pStyle w:val="Nessunaspaziatura"/>
        <w:jc w:val="both"/>
      </w:pPr>
      <w:r w:rsidRPr="007C2763">
        <w:t xml:space="preserve">Nel lungo termine, </w:t>
      </w:r>
      <w:r w:rsidR="001F5215">
        <w:t>ci aspettiamo</w:t>
      </w:r>
      <w:r w:rsidRPr="007C2763">
        <w:t xml:space="preserve"> che l'</w:t>
      </w:r>
      <w:r w:rsidR="009D6665">
        <w:t>i</w:t>
      </w:r>
      <w:r w:rsidRPr="007C2763">
        <w:t xml:space="preserve">nteresse per questo prodotto rimanga piuttosto </w:t>
      </w:r>
      <w:r w:rsidR="009D6665">
        <w:t>elevato</w:t>
      </w:r>
      <w:r w:rsidRPr="007C2763">
        <w:t xml:space="preserve"> grazie al beneficio fiscale e, dal punto di vista del distributore, al fatto di poter contare su un impegno a lungo termine da parte dell'investitore.</w:t>
      </w:r>
    </w:p>
    <w:p w14:paraId="368D8563" w14:textId="5CA7270B" w:rsidR="007920F2" w:rsidRPr="00AE26CB" w:rsidRDefault="007920F2" w:rsidP="002D1BE6">
      <w:pPr>
        <w:pStyle w:val="Nessunaspaziatura"/>
        <w:jc w:val="both"/>
        <w:rPr>
          <w:highlight w:val="yellow"/>
        </w:rPr>
      </w:pPr>
    </w:p>
    <w:p w14:paraId="06490DA5" w14:textId="77777777" w:rsidR="00CF7A3A" w:rsidRPr="00767F3F" w:rsidRDefault="00CF7A3A" w:rsidP="002D1BE6">
      <w:pPr>
        <w:pStyle w:val="Nessunaspaziatura"/>
        <w:jc w:val="both"/>
      </w:pPr>
      <w:r w:rsidRPr="00767F3F">
        <w:t>Le principali ipotesi alla base delle nostre attuali stime sono le seguenti:</w:t>
      </w:r>
    </w:p>
    <w:p w14:paraId="60961927" w14:textId="69D5B192" w:rsidR="009D6665" w:rsidRDefault="009D6665" w:rsidP="002D1BE6">
      <w:pPr>
        <w:pStyle w:val="Nessunaspaziatura"/>
        <w:numPr>
          <w:ilvl w:val="0"/>
          <w:numId w:val="16"/>
        </w:numPr>
        <w:jc w:val="both"/>
      </w:pPr>
      <w:r w:rsidRPr="009D6665">
        <w:t xml:space="preserve">Per il 2023, ipotizziamo una raccolta lorda di nuovi </w:t>
      </w:r>
      <w:r>
        <w:t>sottoscrittori</w:t>
      </w:r>
      <w:r w:rsidRPr="009D6665">
        <w:t xml:space="preserve"> </w:t>
      </w:r>
      <w:r>
        <w:t>di</w:t>
      </w:r>
      <w:r w:rsidRPr="009D6665">
        <w:t xml:space="preserve"> PIR pari a </w:t>
      </w:r>
      <w:r w:rsidR="00236BE1">
        <w:t>50</w:t>
      </w:r>
      <w:r w:rsidRPr="009D6665">
        <w:t xml:space="preserve"> milioni di euro;</w:t>
      </w:r>
    </w:p>
    <w:p w14:paraId="2425FD98" w14:textId="0E87248B" w:rsidR="009D6665" w:rsidRDefault="009D6665" w:rsidP="002D1BE6">
      <w:pPr>
        <w:pStyle w:val="Nessunaspaziatura"/>
        <w:numPr>
          <w:ilvl w:val="0"/>
          <w:numId w:val="16"/>
        </w:numPr>
        <w:jc w:val="both"/>
      </w:pPr>
      <w:r w:rsidRPr="00097692">
        <w:t>Per quanti sottoscrivono Pir in modo continuativo</w:t>
      </w:r>
      <w:r>
        <w:t xml:space="preserve">, prevediamo che la raccolta complessiva nel secondo anno </w:t>
      </w:r>
      <w:r w:rsidRPr="00097692">
        <w:t xml:space="preserve">sarà pari a una parte della somma accantonata nel primo anno </w:t>
      </w:r>
      <w:r>
        <w:t>(dal 35% al 40% nel nostro modello); n</w:t>
      </w:r>
      <w:r w:rsidRPr="00097692">
        <w:t>ei restanti anni (cioè dal terzo al quinto anno)</w:t>
      </w:r>
      <w:r w:rsidRPr="009D6665">
        <w:t xml:space="preserve"> </w:t>
      </w:r>
      <w:r w:rsidRPr="00097692">
        <w:t>prevediamo una raccolta stabile, pari in media al 50% degli investimenti effettuati nel secondo anno;</w:t>
      </w:r>
    </w:p>
    <w:p w14:paraId="5860B05C" w14:textId="303945A8" w:rsidR="009D6665" w:rsidRPr="00E87468" w:rsidRDefault="009D6665" w:rsidP="002D1BE6">
      <w:pPr>
        <w:pStyle w:val="Nessunaspaziatura"/>
        <w:numPr>
          <w:ilvl w:val="0"/>
          <w:numId w:val="16"/>
        </w:numPr>
        <w:jc w:val="both"/>
      </w:pPr>
      <w:r>
        <w:t xml:space="preserve">Infine, calcoliamo </w:t>
      </w:r>
      <w:r w:rsidRPr="00E87468">
        <w:t xml:space="preserve">che l'ammontare del capitale che verrà ritirato dagli investitori che decideranno di uscire dal fondo </w:t>
      </w:r>
      <w:r>
        <w:t>sarà pari al ~1</w:t>
      </w:r>
      <w:r w:rsidR="00B22CED">
        <w:t>8</w:t>
      </w:r>
      <w:r>
        <w:t xml:space="preserve">% </w:t>
      </w:r>
      <w:r w:rsidRPr="00E87468">
        <w:t>degli Assets under Management nel 202</w:t>
      </w:r>
      <w:r>
        <w:t>3</w:t>
      </w:r>
      <w:r w:rsidRPr="00E87468">
        <w:t>.</w:t>
      </w:r>
    </w:p>
    <w:p w14:paraId="1ACAC974" w14:textId="351A4027" w:rsidR="007920F2" w:rsidRPr="00E87468" w:rsidRDefault="007920F2" w:rsidP="009D6665">
      <w:pPr>
        <w:pStyle w:val="Nessunaspaziatura"/>
        <w:ind w:left="360"/>
        <w:jc w:val="both"/>
      </w:pPr>
    </w:p>
    <w:p w14:paraId="46C5D8FD" w14:textId="77777777" w:rsidR="007920F2" w:rsidRPr="00E57E9D" w:rsidRDefault="007920F2" w:rsidP="00E57E9D">
      <w:pPr>
        <w:pStyle w:val="Nessunaspaziatura"/>
        <w:jc w:val="both"/>
      </w:pPr>
    </w:p>
    <w:p w14:paraId="75591D5D" w14:textId="77777777" w:rsidR="00DE2E14" w:rsidRDefault="00DE2E14" w:rsidP="00DE2E14">
      <w:pPr>
        <w:pStyle w:val="Nessunaspaziatura"/>
        <w:jc w:val="both"/>
      </w:pPr>
    </w:p>
    <w:p w14:paraId="76D7FD3F" w14:textId="77777777" w:rsidR="00E5199B" w:rsidRPr="002D3FC3" w:rsidRDefault="00E5199B" w:rsidP="00E5199B">
      <w:pPr>
        <w:spacing w:after="0" w:line="240" w:lineRule="auto"/>
        <w:ind w:right="-1"/>
        <w:jc w:val="both"/>
        <w:rPr>
          <w:rFonts w:cstheme="minorHAnsi"/>
          <w:b/>
          <w:bCs/>
          <w:i/>
          <w:iCs/>
          <w:spacing w:val="-2"/>
          <w:sz w:val="20"/>
          <w:szCs w:val="20"/>
          <w:u w:val="single"/>
        </w:rPr>
      </w:pPr>
      <w:r w:rsidRPr="002D3FC3">
        <w:rPr>
          <w:rFonts w:cstheme="minorHAnsi"/>
          <w:b/>
          <w:bCs/>
          <w:i/>
          <w:iCs/>
          <w:spacing w:val="-2"/>
          <w:sz w:val="20"/>
          <w:szCs w:val="20"/>
          <w:u w:val="single"/>
        </w:rPr>
        <w:t xml:space="preserve">INTERMONTE </w:t>
      </w:r>
    </w:p>
    <w:p w14:paraId="571B6062" w14:textId="1C108F9C" w:rsidR="00E5199B" w:rsidRPr="002825A4" w:rsidRDefault="00E5199B" w:rsidP="00E5199B">
      <w:pPr>
        <w:spacing w:before="120"/>
        <w:jc w:val="both"/>
        <w:rPr>
          <w:rFonts w:eastAsia="Calibri" w:cstheme="minorHAnsi"/>
          <w:color w:val="000000"/>
          <w:sz w:val="18"/>
        </w:rPr>
      </w:pPr>
      <w:r w:rsidRPr="002825A4">
        <w:rPr>
          <w:rFonts w:cstheme="minorHAnsi"/>
          <w:color w:val="000000"/>
          <w:sz w:val="18"/>
          <w:szCs w:val="18"/>
        </w:rPr>
        <w:t xml:space="preserve">Intermonte è una Investment bank indipendente leader in Italia e punto di riferimento per gli investitori istituzionali italiani e internazionali nel segmento delle mid &amp; small caps. Quotata sul mercato Euronext </w:t>
      </w:r>
      <w:r w:rsidRPr="00291635">
        <w:rPr>
          <w:rFonts w:cstheme="minorHAnsi"/>
          <w:color w:val="000000"/>
          <w:sz w:val="18"/>
          <w:szCs w:val="18"/>
        </w:rPr>
        <w:t>Growth</w:t>
      </w:r>
      <w:r w:rsidRPr="002825A4">
        <w:rPr>
          <w:rFonts w:cstheme="minorHAnsi"/>
          <w:color w:val="000000"/>
          <w:sz w:val="18"/>
          <w:szCs w:val="18"/>
        </w:rPr>
        <w:t xml:space="preserve"> Milan di Borsa Italiana, presenta un modello di business diversificato su quattro linee di attività, “Investment Banking”, “Sales &amp; Trading”, Global Markets” e “Digital </w:t>
      </w:r>
      <w:r w:rsidRPr="00291635">
        <w:rPr>
          <w:rFonts w:cstheme="minorHAnsi"/>
          <w:color w:val="000000"/>
          <w:sz w:val="18"/>
          <w:szCs w:val="18"/>
        </w:rPr>
        <w:t>Division</w:t>
      </w:r>
      <w:r w:rsidRPr="002825A4">
        <w:rPr>
          <w:rFonts w:cstheme="minorHAnsi"/>
          <w:color w:val="000000"/>
          <w:sz w:val="18"/>
          <w:szCs w:val="18"/>
        </w:rPr>
        <w:t xml:space="preserve"> &amp; Advisory”. </w:t>
      </w:r>
      <w:r w:rsidRPr="002825A4">
        <w:rPr>
          <w:rFonts w:cstheme="minorHAnsi"/>
          <w:color w:val="000000"/>
          <w:sz w:val="18"/>
          <w:szCs w:val="18"/>
          <w:u w:val="single"/>
        </w:rPr>
        <w:t>L’Investment</w:t>
      </w:r>
      <w:r w:rsidRPr="002825A4">
        <w:rPr>
          <w:rFonts w:cstheme="minorHAnsi"/>
          <w:color w:val="000000"/>
          <w:sz w:val="18"/>
          <w:u w:val="single"/>
        </w:rPr>
        <w:t xml:space="preserve"> Banking</w:t>
      </w:r>
      <w:r w:rsidRPr="002825A4">
        <w:rPr>
          <w:rFonts w:cstheme="minorHAnsi"/>
          <w:color w:val="000000"/>
          <w:sz w:val="18"/>
          <w:szCs w:val="18"/>
        </w:rPr>
        <w:t xml:space="preserve"> offre servizi rivolti a imprese quotate e non quotate in operazioni straordinarie, incluse operazioni di Equity Capital Markets, M&amp;A e Debt Capital Markets. Le divisioni </w:t>
      </w:r>
      <w:r w:rsidRPr="002825A4">
        <w:rPr>
          <w:rFonts w:cstheme="minorHAnsi"/>
          <w:color w:val="000000"/>
          <w:sz w:val="18"/>
          <w:u w:val="single"/>
        </w:rPr>
        <w:t>Sales &amp; Trading e Global Markets</w:t>
      </w:r>
      <w:r w:rsidRPr="002825A4">
        <w:rPr>
          <w:rFonts w:cstheme="minorHAnsi"/>
          <w:color w:val="000000"/>
          <w:sz w:val="18"/>
          <w:szCs w:val="18"/>
        </w:rPr>
        <w:t xml:space="preserve"> supportano le decisioni di oltre 650 investitori istituzionali italiani ed esteri grazie a una ricerca di alto standing di più di 50 operatori professionali specializzati nelle varie asset class, azioni, obbligazioni, derivati, ETF, valute e commodities. L’ufficio studi figura costantemente ai vertici delle classifiche internazionali per qualità della ricerca e offre la più ampia copertura del mercato azionario italiano sulla base di un’elevata specializzazione settoriale. </w:t>
      </w:r>
      <w:r w:rsidRPr="002825A4">
        <w:rPr>
          <w:rFonts w:cstheme="minorHAnsi"/>
          <w:color w:val="000000"/>
          <w:sz w:val="18"/>
          <w:szCs w:val="18"/>
          <w:u w:val="single"/>
        </w:rPr>
        <w:t xml:space="preserve">La divisione “Digital </w:t>
      </w:r>
      <w:r w:rsidRPr="00291635">
        <w:rPr>
          <w:rFonts w:cstheme="minorHAnsi"/>
          <w:color w:val="000000"/>
          <w:sz w:val="18"/>
          <w:szCs w:val="18"/>
          <w:u w:val="single"/>
        </w:rPr>
        <w:t>Division</w:t>
      </w:r>
      <w:r w:rsidRPr="002825A4">
        <w:rPr>
          <w:rFonts w:cstheme="minorHAnsi"/>
          <w:color w:val="000000"/>
          <w:sz w:val="18"/>
          <w:szCs w:val="18"/>
          <w:u w:val="single"/>
        </w:rPr>
        <w:t xml:space="preserve"> &amp; Advisory”</w:t>
      </w:r>
      <w:r w:rsidRPr="002825A4">
        <w:rPr>
          <w:rFonts w:cstheme="minorHAnsi"/>
          <w:color w:val="000000"/>
          <w:sz w:val="18"/>
          <w:szCs w:val="18"/>
        </w:rPr>
        <w:t xml:space="preserve"> è attiva nel risparmio gestito e consulenza agli investimenti. Websim è specializzata in produzione di contenuti finanziari destinati a investitori retail. T.I.E. - The Intermonte Eye - è l’area riservata a consulenti finanziari e private banker</w:t>
      </w:r>
      <w:r w:rsidRPr="002825A4">
        <w:rPr>
          <w:rFonts w:eastAsia="Calibri" w:cstheme="minorHAnsi"/>
          <w:color w:val="000000"/>
          <w:sz w:val="18"/>
          <w:szCs w:val="18"/>
        </w:rPr>
        <w:t>.</w:t>
      </w:r>
    </w:p>
    <w:p w14:paraId="504D6B3D" w14:textId="77777777" w:rsidR="00E5199B" w:rsidRPr="002D3FC3" w:rsidRDefault="00E5199B" w:rsidP="00E5199B">
      <w:pPr>
        <w:pStyle w:val="Paragrafoelenco"/>
        <w:ind w:left="0"/>
        <w:jc w:val="both"/>
        <w:rPr>
          <w:rFonts w:cstheme="minorHAnsi"/>
          <w:b/>
          <w:i/>
          <w:sz w:val="20"/>
          <w:szCs w:val="20"/>
        </w:rPr>
      </w:pPr>
      <w:r w:rsidRPr="002D3FC3">
        <w:rPr>
          <w:rFonts w:cstheme="minorHAnsi"/>
          <w:b/>
          <w:i/>
          <w:sz w:val="20"/>
          <w:szCs w:val="20"/>
        </w:rPr>
        <w:t xml:space="preserve">Contatti per la stampa: </w:t>
      </w:r>
    </w:p>
    <w:p w14:paraId="4517E29E" w14:textId="77777777" w:rsidR="00E5199B" w:rsidRPr="002D3FC3" w:rsidRDefault="00E5199B" w:rsidP="00E5199B">
      <w:pPr>
        <w:pStyle w:val="Paragrafoelenco"/>
        <w:ind w:left="0"/>
        <w:jc w:val="both"/>
        <w:rPr>
          <w:rFonts w:cstheme="minorHAnsi"/>
          <w:b/>
          <w:i/>
          <w:sz w:val="20"/>
          <w:szCs w:val="20"/>
        </w:rPr>
      </w:pPr>
      <w:r w:rsidRPr="002D3FC3">
        <w:rPr>
          <w:rFonts w:cstheme="minorHAnsi"/>
          <w:b/>
          <w:i/>
          <w:sz w:val="20"/>
          <w:szCs w:val="20"/>
        </w:rPr>
        <w:t>BC Communication</w:t>
      </w:r>
    </w:p>
    <w:p w14:paraId="405DB0F9" w14:textId="77777777" w:rsidR="00E5199B" w:rsidRPr="002D3FC3" w:rsidRDefault="00E5199B" w:rsidP="00E5199B">
      <w:pPr>
        <w:pStyle w:val="Paragrafoelenco"/>
        <w:ind w:left="0"/>
        <w:jc w:val="both"/>
        <w:rPr>
          <w:rFonts w:cstheme="minorHAnsi"/>
          <w:b/>
          <w:i/>
          <w:sz w:val="20"/>
          <w:szCs w:val="20"/>
        </w:rPr>
      </w:pPr>
      <w:r w:rsidRPr="002D3FC3">
        <w:rPr>
          <w:rFonts w:cstheme="minorHAnsi"/>
          <w:b/>
          <w:i/>
          <w:sz w:val="20"/>
          <w:szCs w:val="20"/>
        </w:rPr>
        <w:t xml:space="preserve">Beatrice Cagnoni </w:t>
      </w:r>
      <w:r w:rsidRPr="002D3FC3">
        <w:rPr>
          <w:rFonts w:cstheme="minorHAnsi"/>
          <w:bCs/>
          <w:i/>
          <w:sz w:val="20"/>
          <w:szCs w:val="20"/>
        </w:rPr>
        <w:t xml:space="preserve">– </w:t>
      </w:r>
      <w:hyperlink r:id="rId8" w:history="1">
        <w:r w:rsidRPr="002D3FC3">
          <w:rPr>
            <w:rStyle w:val="Collegamentoipertestuale"/>
            <w:rFonts w:cstheme="minorHAnsi"/>
            <w:i/>
            <w:sz w:val="20"/>
            <w:szCs w:val="20"/>
          </w:rPr>
          <w:t>beatrice.cagnoni@bc-communication.it</w:t>
        </w:r>
      </w:hyperlink>
      <w:r w:rsidRPr="002D3FC3">
        <w:rPr>
          <w:rStyle w:val="Collegamentoipertestuale"/>
          <w:rFonts w:cstheme="minorHAnsi"/>
          <w:i/>
          <w:sz w:val="20"/>
          <w:szCs w:val="20"/>
        </w:rPr>
        <w:t xml:space="preserve"> </w:t>
      </w:r>
      <w:r w:rsidRPr="002D3FC3">
        <w:rPr>
          <w:rFonts w:cstheme="minorHAnsi"/>
          <w:bCs/>
          <w:i/>
          <w:sz w:val="20"/>
          <w:szCs w:val="20"/>
        </w:rPr>
        <w:t xml:space="preserve">– </w:t>
      </w:r>
      <w:r w:rsidRPr="002D3FC3">
        <w:rPr>
          <w:rFonts w:cstheme="minorHAnsi"/>
          <w:b/>
          <w:i/>
          <w:sz w:val="20"/>
          <w:szCs w:val="20"/>
        </w:rPr>
        <w:t>+39 335 5635111</w:t>
      </w:r>
    </w:p>
    <w:p w14:paraId="565767DE" w14:textId="0B11885D" w:rsidR="001D1322" w:rsidRPr="00C57CBE" w:rsidRDefault="00FD2511" w:rsidP="00E5199B">
      <w:pPr>
        <w:pStyle w:val="Paragrafoelenco"/>
        <w:ind w:left="0"/>
        <w:jc w:val="both"/>
        <w:rPr>
          <w:rFonts w:cstheme="minorHAnsi"/>
          <w:b/>
          <w:i/>
          <w:sz w:val="20"/>
          <w:szCs w:val="20"/>
        </w:rPr>
      </w:pPr>
      <w:r>
        <w:rPr>
          <w:rFonts w:cstheme="minorHAnsi"/>
          <w:b/>
          <w:i/>
          <w:sz w:val="20"/>
          <w:szCs w:val="20"/>
        </w:rPr>
        <w:t>Giulia Franzoni</w:t>
      </w:r>
      <w:r w:rsidR="00E5199B" w:rsidRPr="00C57CBE">
        <w:rPr>
          <w:rFonts w:cstheme="minorHAnsi"/>
          <w:b/>
          <w:i/>
          <w:sz w:val="20"/>
          <w:szCs w:val="20"/>
        </w:rPr>
        <w:t xml:space="preserve"> </w:t>
      </w:r>
      <w:r w:rsidR="00E5199B" w:rsidRPr="00C57CBE">
        <w:rPr>
          <w:rFonts w:cstheme="minorHAnsi"/>
          <w:bCs/>
          <w:i/>
          <w:sz w:val="20"/>
          <w:szCs w:val="20"/>
        </w:rPr>
        <w:t>–</w:t>
      </w:r>
      <w:r w:rsidR="00E5199B" w:rsidRPr="00C57CBE">
        <w:rPr>
          <w:rStyle w:val="Collegamentoipertestuale"/>
          <w:rFonts w:cstheme="minorHAnsi"/>
          <w:i/>
          <w:sz w:val="20"/>
          <w:szCs w:val="20"/>
        </w:rPr>
        <w:t xml:space="preserve"> </w:t>
      </w:r>
      <w:r>
        <w:rPr>
          <w:rStyle w:val="Collegamentoipertestuale"/>
          <w:rFonts w:cstheme="minorHAnsi"/>
          <w:i/>
          <w:sz w:val="20"/>
          <w:szCs w:val="20"/>
        </w:rPr>
        <w:t>giulia.franzoni</w:t>
      </w:r>
      <w:r w:rsidR="00E5199B" w:rsidRPr="00C57CBE">
        <w:rPr>
          <w:rStyle w:val="Collegamentoipertestuale"/>
          <w:rFonts w:cstheme="minorHAnsi"/>
          <w:i/>
          <w:sz w:val="20"/>
          <w:szCs w:val="20"/>
        </w:rPr>
        <w:t>@bc-communication.it</w:t>
      </w:r>
      <w:r w:rsidR="00E5199B" w:rsidRPr="00C57CBE">
        <w:rPr>
          <w:rFonts w:cstheme="minorHAnsi"/>
          <w:b/>
          <w:i/>
          <w:sz w:val="20"/>
          <w:szCs w:val="20"/>
        </w:rPr>
        <w:t xml:space="preserve"> </w:t>
      </w:r>
      <w:r w:rsidR="00E5199B" w:rsidRPr="00C57CBE">
        <w:rPr>
          <w:rFonts w:cstheme="minorHAnsi"/>
          <w:bCs/>
          <w:i/>
          <w:sz w:val="20"/>
          <w:szCs w:val="20"/>
        </w:rPr>
        <w:t>–</w:t>
      </w:r>
      <w:r w:rsidR="00E5199B" w:rsidRPr="00C57CBE">
        <w:rPr>
          <w:rFonts w:cstheme="minorHAnsi"/>
          <w:b/>
          <w:i/>
          <w:sz w:val="20"/>
          <w:szCs w:val="20"/>
        </w:rPr>
        <w:t xml:space="preserve"> +39 </w:t>
      </w:r>
      <w:r>
        <w:rPr>
          <w:rFonts w:cstheme="minorHAnsi"/>
          <w:b/>
          <w:i/>
          <w:sz w:val="20"/>
          <w:szCs w:val="20"/>
        </w:rPr>
        <w:t>334 3337 756</w:t>
      </w:r>
    </w:p>
    <w:p w14:paraId="599E9A43" w14:textId="069AA1BA" w:rsidR="007920F2" w:rsidRPr="00C57CBE" w:rsidRDefault="007920F2" w:rsidP="00E5199B">
      <w:pPr>
        <w:pStyle w:val="Paragrafoelenco"/>
        <w:ind w:left="0"/>
        <w:jc w:val="both"/>
        <w:rPr>
          <w:rFonts w:cstheme="minorHAnsi"/>
          <w:b/>
          <w:i/>
          <w:sz w:val="20"/>
          <w:szCs w:val="20"/>
        </w:rPr>
      </w:pPr>
    </w:p>
    <w:p w14:paraId="6A551DD1" w14:textId="7C7E7655" w:rsidR="007920F2" w:rsidRPr="00C57CBE" w:rsidRDefault="007920F2" w:rsidP="007920F2">
      <w:pPr>
        <w:pStyle w:val="Paragrafoelenco"/>
        <w:ind w:left="0"/>
        <w:jc w:val="both"/>
        <w:rPr>
          <w:rFonts w:cstheme="minorHAnsi"/>
          <w:b/>
          <w:i/>
          <w:sz w:val="20"/>
          <w:szCs w:val="20"/>
        </w:rPr>
      </w:pPr>
    </w:p>
    <w:sectPr w:rsidR="007920F2" w:rsidRPr="00C57CBE">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CD0F" w14:textId="77777777" w:rsidR="00F22098" w:rsidRDefault="00F22098">
      <w:pPr>
        <w:spacing w:after="0" w:line="240" w:lineRule="auto"/>
      </w:pPr>
      <w:r>
        <w:separator/>
      </w:r>
    </w:p>
  </w:endnote>
  <w:endnote w:type="continuationSeparator" w:id="0">
    <w:p w14:paraId="61429C91" w14:textId="77777777" w:rsidR="00F22098" w:rsidRDefault="00F22098">
      <w:pPr>
        <w:spacing w:after="0" w:line="240" w:lineRule="auto"/>
      </w:pPr>
      <w:r>
        <w:continuationSeparator/>
      </w:r>
    </w:p>
  </w:endnote>
  <w:endnote w:type="continuationNotice" w:id="1">
    <w:p w14:paraId="0B4E2985" w14:textId="77777777" w:rsidR="00F22098" w:rsidRDefault="00F22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377271"/>
      <w:docPartObj>
        <w:docPartGallery w:val="Page Numbers (Bottom of Page)"/>
        <w:docPartUnique/>
      </w:docPartObj>
    </w:sdtPr>
    <w:sdtContent>
      <w:p w14:paraId="1F0B891D" w14:textId="77777777" w:rsidR="00631C43" w:rsidRDefault="001B3CF9">
        <w:pPr>
          <w:pStyle w:val="Pidipagina"/>
          <w:jc w:val="center"/>
        </w:pPr>
        <w:r>
          <w:fldChar w:fldCharType="begin"/>
        </w:r>
        <w:r>
          <w:instrText>PAGE   \* MERGEFORMAT</w:instrText>
        </w:r>
        <w:r>
          <w:fldChar w:fldCharType="separate"/>
        </w:r>
        <w:r>
          <w:t>2</w:t>
        </w:r>
        <w:r>
          <w:fldChar w:fldCharType="end"/>
        </w:r>
      </w:p>
    </w:sdtContent>
  </w:sdt>
  <w:p w14:paraId="1897EE76" w14:textId="77777777" w:rsidR="00631C43" w:rsidRDefault="00631C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54621" w14:textId="77777777" w:rsidR="00F22098" w:rsidRDefault="00F22098">
      <w:pPr>
        <w:spacing w:after="0" w:line="240" w:lineRule="auto"/>
      </w:pPr>
      <w:r>
        <w:separator/>
      </w:r>
    </w:p>
  </w:footnote>
  <w:footnote w:type="continuationSeparator" w:id="0">
    <w:p w14:paraId="6C22A5CF" w14:textId="77777777" w:rsidR="00F22098" w:rsidRDefault="00F22098">
      <w:pPr>
        <w:spacing w:after="0" w:line="240" w:lineRule="auto"/>
      </w:pPr>
      <w:r>
        <w:continuationSeparator/>
      </w:r>
    </w:p>
  </w:footnote>
  <w:footnote w:type="continuationNotice" w:id="1">
    <w:p w14:paraId="1710B3DC" w14:textId="77777777" w:rsidR="00F22098" w:rsidRDefault="00F220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E748" w14:textId="77777777" w:rsidR="00022319" w:rsidRDefault="00022319" w:rsidP="00B85C3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5D3C"/>
    <w:multiLevelType w:val="hybridMultilevel"/>
    <w:tmpl w:val="AE5C6D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7364D5"/>
    <w:multiLevelType w:val="hybridMultilevel"/>
    <w:tmpl w:val="3538F5EE"/>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231F6D"/>
    <w:multiLevelType w:val="hybridMultilevel"/>
    <w:tmpl w:val="9BC455F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ED251DB"/>
    <w:multiLevelType w:val="hybridMultilevel"/>
    <w:tmpl w:val="BEBE1DE8"/>
    <w:lvl w:ilvl="0" w:tplc="C884F36A">
      <w:start w:val="1"/>
      <w:numFmt w:val="bullet"/>
      <w:pStyle w:val="Bullets"/>
      <w:lvlText w:val=""/>
      <w:lvlJc w:val="left"/>
      <w:pPr>
        <w:ind w:left="0" w:firstLine="0"/>
      </w:pPr>
      <w:rPr>
        <w:rFonts w:ascii="Wingdings" w:hAnsi="Wingdings" w:hint="default"/>
        <w:b w:val="0"/>
        <w:bCs w:val="0"/>
        <w:i w:val="0"/>
        <w:iCs w:val="0"/>
        <w:caps w:val="0"/>
        <w:smallCaps w:val="0"/>
        <w:strike w:val="0"/>
        <w:dstrike w:val="0"/>
        <w:noProof w:val="0"/>
        <w:vanish w:val="0"/>
        <w:webHidden w:val="0"/>
        <w:color w:val="999999"/>
        <w:spacing w:val="0"/>
        <w:kern w:val="0"/>
        <w:position w:val="0"/>
        <w:sz w:val="19"/>
        <w:szCs w:val="19"/>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AECC22A">
      <w:start w:val="1"/>
      <w:numFmt w:val="bullet"/>
      <w:lvlText w:val=""/>
      <w:lvlJc w:val="left"/>
      <w:pPr>
        <w:tabs>
          <w:tab w:val="num" w:pos="1440"/>
        </w:tabs>
        <w:ind w:left="1440" w:hanging="360"/>
      </w:pPr>
      <w:rPr>
        <w:rFonts w:ascii="Wingdings" w:hAnsi="Wingdings" w:hint="default"/>
        <w:sz w:val="36"/>
        <w:szCs w:val="3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671D9"/>
    <w:multiLevelType w:val="hybridMultilevel"/>
    <w:tmpl w:val="955C934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99025B"/>
    <w:multiLevelType w:val="hybridMultilevel"/>
    <w:tmpl w:val="677A2198"/>
    <w:lvl w:ilvl="0" w:tplc="041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8261EEF"/>
    <w:multiLevelType w:val="hybridMultilevel"/>
    <w:tmpl w:val="E3608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4E68E5"/>
    <w:multiLevelType w:val="hybridMultilevel"/>
    <w:tmpl w:val="182E1A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8115A60"/>
    <w:multiLevelType w:val="hybridMultilevel"/>
    <w:tmpl w:val="985C6A4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CAE5D64"/>
    <w:multiLevelType w:val="hybridMultilevel"/>
    <w:tmpl w:val="7870B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4C5A77"/>
    <w:multiLevelType w:val="hybridMultilevel"/>
    <w:tmpl w:val="7D50FE3E"/>
    <w:lvl w:ilvl="0" w:tplc="148CBADE">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C05986"/>
    <w:multiLevelType w:val="hybridMultilevel"/>
    <w:tmpl w:val="8A101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49284E"/>
    <w:multiLevelType w:val="hybridMultilevel"/>
    <w:tmpl w:val="6282A2E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15:restartNumberingAfterBreak="0">
    <w:nsid w:val="3D8C7476"/>
    <w:multiLevelType w:val="hybridMultilevel"/>
    <w:tmpl w:val="91FA8C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9230B3"/>
    <w:multiLevelType w:val="hybridMultilevel"/>
    <w:tmpl w:val="4A7023EE"/>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00065B4"/>
    <w:multiLevelType w:val="hybridMultilevel"/>
    <w:tmpl w:val="EA2052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BF2F66"/>
    <w:multiLevelType w:val="hybridMultilevel"/>
    <w:tmpl w:val="9EA6B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923C0E"/>
    <w:multiLevelType w:val="hybridMultilevel"/>
    <w:tmpl w:val="B1F460EC"/>
    <w:lvl w:ilvl="0" w:tplc="E09689C6">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19154B6"/>
    <w:multiLevelType w:val="hybridMultilevel"/>
    <w:tmpl w:val="4456E5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C2536A"/>
    <w:multiLevelType w:val="hybridMultilevel"/>
    <w:tmpl w:val="C2805C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0C40B9"/>
    <w:multiLevelType w:val="hybridMultilevel"/>
    <w:tmpl w:val="275A2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FA04E2"/>
    <w:multiLevelType w:val="hybridMultilevel"/>
    <w:tmpl w:val="EA64A498"/>
    <w:lvl w:ilvl="0" w:tplc="E09689C6">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33E5692"/>
    <w:multiLevelType w:val="hybridMultilevel"/>
    <w:tmpl w:val="4F68CA5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44138E5"/>
    <w:multiLevelType w:val="hybridMultilevel"/>
    <w:tmpl w:val="FAEE2E72"/>
    <w:lvl w:ilvl="0" w:tplc="E09689C6">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8AE6E62"/>
    <w:multiLevelType w:val="hybridMultilevel"/>
    <w:tmpl w:val="0AD628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2676390">
    <w:abstractNumId w:val="10"/>
  </w:num>
  <w:num w:numId="2" w16cid:durableId="1137602706">
    <w:abstractNumId w:val="1"/>
  </w:num>
  <w:num w:numId="3" w16cid:durableId="1481918223">
    <w:abstractNumId w:val="19"/>
  </w:num>
  <w:num w:numId="4" w16cid:durableId="136192562">
    <w:abstractNumId w:val="18"/>
  </w:num>
  <w:num w:numId="5" w16cid:durableId="770200441">
    <w:abstractNumId w:val="24"/>
  </w:num>
  <w:num w:numId="6" w16cid:durableId="1030649971">
    <w:abstractNumId w:val="2"/>
  </w:num>
  <w:num w:numId="7" w16cid:durableId="429745017">
    <w:abstractNumId w:val="16"/>
  </w:num>
  <w:num w:numId="8" w16cid:durableId="827480080">
    <w:abstractNumId w:val="8"/>
  </w:num>
  <w:num w:numId="9" w16cid:durableId="244609539">
    <w:abstractNumId w:val="9"/>
  </w:num>
  <w:num w:numId="10" w16cid:durableId="786853252">
    <w:abstractNumId w:val="11"/>
  </w:num>
  <w:num w:numId="11" w16cid:durableId="2062945117">
    <w:abstractNumId w:val="3"/>
  </w:num>
  <w:num w:numId="12" w16cid:durableId="1823810398">
    <w:abstractNumId w:val="7"/>
  </w:num>
  <w:num w:numId="13" w16cid:durableId="1699693606">
    <w:abstractNumId w:val="6"/>
  </w:num>
  <w:num w:numId="14" w16cid:durableId="270865012">
    <w:abstractNumId w:val="0"/>
  </w:num>
  <w:num w:numId="15" w16cid:durableId="409739443">
    <w:abstractNumId w:val="20"/>
  </w:num>
  <w:num w:numId="16" w16cid:durableId="1364476437">
    <w:abstractNumId w:val="15"/>
  </w:num>
  <w:num w:numId="17" w16cid:durableId="1999381717">
    <w:abstractNumId w:val="13"/>
  </w:num>
  <w:num w:numId="18" w16cid:durableId="88740832">
    <w:abstractNumId w:val="5"/>
  </w:num>
  <w:num w:numId="19" w16cid:durableId="1729182094">
    <w:abstractNumId w:val="4"/>
  </w:num>
  <w:num w:numId="20" w16cid:durableId="893001785">
    <w:abstractNumId w:val="17"/>
  </w:num>
  <w:num w:numId="21" w16cid:durableId="241068393">
    <w:abstractNumId w:val="14"/>
  </w:num>
  <w:num w:numId="22" w16cid:durableId="1539321849">
    <w:abstractNumId w:val="22"/>
  </w:num>
  <w:num w:numId="23" w16cid:durableId="2031026506">
    <w:abstractNumId w:val="12"/>
  </w:num>
  <w:num w:numId="24" w16cid:durableId="65883614">
    <w:abstractNumId w:val="21"/>
  </w:num>
  <w:num w:numId="25" w16cid:durableId="14707116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9"/>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E5199B"/>
    <w:rsid w:val="0000050E"/>
    <w:rsid w:val="00003618"/>
    <w:rsid w:val="00003CAA"/>
    <w:rsid w:val="00004957"/>
    <w:rsid w:val="0000512D"/>
    <w:rsid w:val="000064D9"/>
    <w:rsid w:val="000074F2"/>
    <w:rsid w:val="0001139E"/>
    <w:rsid w:val="00020176"/>
    <w:rsid w:val="00022319"/>
    <w:rsid w:val="00026CDB"/>
    <w:rsid w:val="00027F66"/>
    <w:rsid w:val="00030E15"/>
    <w:rsid w:val="00031E04"/>
    <w:rsid w:val="000328E9"/>
    <w:rsid w:val="00032DBD"/>
    <w:rsid w:val="00033626"/>
    <w:rsid w:val="00033F5F"/>
    <w:rsid w:val="00034C25"/>
    <w:rsid w:val="00037AD8"/>
    <w:rsid w:val="00047399"/>
    <w:rsid w:val="00050C72"/>
    <w:rsid w:val="00051441"/>
    <w:rsid w:val="0006475D"/>
    <w:rsid w:val="000649A8"/>
    <w:rsid w:val="0006620E"/>
    <w:rsid w:val="00071620"/>
    <w:rsid w:val="00072247"/>
    <w:rsid w:val="000747D5"/>
    <w:rsid w:val="00083EA3"/>
    <w:rsid w:val="00092E9C"/>
    <w:rsid w:val="000945E3"/>
    <w:rsid w:val="0009669D"/>
    <w:rsid w:val="00097692"/>
    <w:rsid w:val="000A2C35"/>
    <w:rsid w:val="000A3582"/>
    <w:rsid w:val="000A437C"/>
    <w:rsid w:val="000A5600"/>
    <w:rsid w:val="000A7197"/>
    <w:rsid w:val="000B17A5"/>
    <w:rsid w:val="000B323E"/>
    <w:rsid w:val="000B3978"/>
    <w:rsid w:val="000B5449"/>
    <w:rsid w:val="000B67EE"/>
    <w:rsid w:val="000B704C"/>
    <w:rsid w:val="000C263E"/>
    <w:rsid w:val="000D3BFA"/>
    <w:rsid w:val="000D7E8E"/>
    <w:rsid w:val="000E3ED8"/>
    <w:rsid w:val="000E40D7"/>
    <w:rsid w:val="000F42FC"/>
    <w:rsid w:val="000F665B"/>
    <w:rsid w:val="000F77CF"/>
    <w:rsid w:val="00104A78"/>
    <w:rsid w:val="001127D7"/>
    <w:rsid w:val="00114690"/>
    <w:rsid w:val="001148AD"/>
    <w:rsid w:val="001177B2"/>
    <w:rsid w:val="00121393"/>
    <w:rsid w:val="00131BC2"/>
    <w:rsid w:val="00136592"/>
    <w:rsid w:val="00136803"/>
    <w:rsid w:val="00142F8A"/>
    <w:rsid w:val="001441DF"/>
    <w:rsid w:val="00147ED7"/>
    <w:rsid w:val="0015283B"/>
    <w:rsid w:val="0015402B"/>
    <w:rsid w:val="00155440"/>
    <w:rsid w:val="00157C55"/>
    <w:rsid w:val="00161051"/>
    <w:rsid w:val="00161720"/>
    <w:rsid w:val="0016319B"/>
    <w:rsid w:val="00165104"/>
    <w:rsid w:val="00170C74"/>
    <w:rsid w:val="0017227D"/>
    <w:rsid w:val="00172595"/>
    <w:rsid w:val="00174887"/>
    <w:rsid w:val="00181160"/>
    <w:rsid w:val="00184FB7"/>
    <w:rsid w:val="001933F8"/>
    <w:rsid w:val="00193B92"/>
    <w:rsid w:val="001971C9"/>
    <w:rsid w:val="001A1722"/>
    <w:rsid w:val="001A5662"/>
    <w:rsid w:val="001B0385"/>
    <w:rsid w:val="001B21D1"/>
    <w:rsid w:val="001B3060"/>
    <w:rsid w:val="001B344F"/>
    <w:rsid w:val="001B3CF9"/>
    <w:rsid w:val="001B5BCE"/>
    <w:rsid w:val="001C6885"/>
    <w:rsid w:val="001D1322"/>
    <w:rsid w:val="001D30F7"/>
    <w:rsid w:val="001E080D"/>
    <w:rsid w:val="001E57C5"/>
    <w:rsid w:val="001E69FC"/>
    <w:rsid w:val="001E6A34"/>
    <w:rsid w:val="001F5215"/>
    <w:rsid w:val="001F6ED3"/>
    <w:rsid w:val="00200D08"/>
    <w:rsid w:val="0020242D"/>
    <w:rsid w:val="00202A6B"/>
    <w:rsid w:val="00224225"/>
    <w:rsid w:val="00226508"/>
    <w:rsid w:val="00226AE0"/>
    <w:rsid w:val="00226C2E"/>
    <w:rsid w:val="002274FC"/>
    <w:rsid w:val="00236BE1"/>
    <w:rsid w:val="00246961"/>
    <w:rsid w:val="00246D62"/>
    <w:rsid w:val="002479F3"/>
    <w:rsid w:val="00247A8D"/>
    <w:rsid w:val="0025326C"/>
    <w:rsid w:val="00256153"/>
    <w:rsid w:val="00256634"/>
    <w:rsid w:val="0026189B"/>
    <w:rsid w:val="00262B2E"/>
    <w:rsid w:val="00265ABC"/>
    <w:rsid w:val="00276CC7"/>
    <w:rsid w:val="002848ED"/>
    <w:rsid w:val="00285790"/>
    <w:rsid w:val="0028670E"/>
    <w:rsid w:val="002868C0"/>
    <w:rsid w:val="00287F41"/>
    <w:rsid w:val="00291066"/>
    <w:rsid w:val="00292AF1"/>
    <w:rsid w:val="00294A0D"/>
    <w:rsid w:val="002970B2"/>
    <w:rsid w:val="00297E4D"/>
    <w:rsid w:val="002C2748"/>
    <w:rsid w:val="002D1BE6"/>
    <w:rsid w:val="002D2DAB"/>
    <w:rsid w:val="002D4AE9"/>
    <w:rsid w:val="002D6A98"/>
    <w:rsid w:val="002E1F36"/>
    <w:rsid w:val="002E343F"/>
    <w:rsid w:val="002E39CD"/>
    <w:rsid w:val="002F66E6"/>
    <w:rsid w:val="002F7F8E"/>
    <w:rsid w:val="003004B5"/>
    <w:rsid w:val="00302B7C"/>
    <w:rsid w:val="00305D70"/>
    <w:rsid w:val="00305FA0"/>
    <w:rsid w:val="0030695B"/>
    <w:rsid w:val="0031141B"/>
    <w:rsid w:val="0031257A"/>
    <w:rsid w:val="0032421A"/>
    <w:rsid w:val="00325407"/>
    <w:rsid w:val="00333FE9"/>
    <w:rsid w:val="00340E0D"/>
    <w:rsid w:val="00344767"/>
    <w:rsid w:val="003512F5"/>
    <w:rsid w:val="00351369"/>
    <w:rsid w:val="00355890"/>
    <w:rsid w:val="003613B8"/>
    <w:rsid w:val="00364C73"/>
    <w:rsid w:val="003704CE"/>
    <w:rsid w:val="00372558"/>
    <w:rsid w:val="00372D50"/>
    <w:rsid w:val="00376A13"/>
    <w:rsid w:val="0038118C"/>
    <w:rsid w:val="00381877"/>
    <w:rsid w:val="00384B97"/>
    <w:rsid w:val="00385DDC"/>
    <w:rsid w:val="00391203"/>
    <w:rsid w:val="00392BC3"/>
    <w:rsid w:val="003933BC"/>
    <w:rsid w:val="003950F2"/>
    <w:rsid w:val="003A0B31"/>
    <w:rsid w:val="003A121B"/>
    <w:rsid w:val="003A2EF7"/>
    <w:rsid w:val="003B2BFF"/>
    <w:rsid w:val="003B2DC5"/>
    <w:rsid w:val="003B438B"/>
    <w:rsid w:val="003B5272"/>
    <w:rsid w:val="003B650B"/>
    <w:rsid w:val="003B7D2C"/>
    <w:rsid w:val="003C05AF"/>
    <w:rsid w:val="003C0CC7"/>
    <w:rsid w:val="003C3535"/>
    <w:rsid w:val="003C5DDF"/>
    <w:rsid w:val="003C77F5"/>
    <w:rsid w:val="003D4AFE"/>
    <w:rsid w:val="003D5008"/>
    <w:rsid w:val="003D5F3B"/>
    <w:rsid w:val="003E0508"/>
    <w:rsid w:val="003E4A68"/>
    <w:rsid w:val="003E7136"/>
    <w:rsid w:val="003F0E09"/>
    <w:rsid w:val="003F18FA"/>
    <w:rsid w:val="003F1D70"/>
    <w:rsid w:val="003F221A"/>
    <w:rsid w:val="003F320D"/>
    <w:rsid w:val="003F62D1"/>
    <w:rsid w:val="003F70BB"/>
    <w:rsid w:val="00400358"/>
    <w:rsid w:val="004042DD"/>
    <w:rsid w:val="00405C3B"/>
    <w:rsid w:val="004064BB"/>
    <w:rsid w:val="004116A5"/>
    <w:rsid w:val="004119D9"/>
    <w:rsid w:val="00414885"/>
    <w:rsid w:val="0041517C"/>
    <w:rsid w:val="00424AB6"/>
    <w:rsid w:val="00427C8D"/>
    <w:rsid w:val="00440331"/>
    <w:rsid w:val="00442B98"/>
    <w:rsid w:val="00443464"/>
    <w:rsid w:val="00445E8D"/>
    <w:rsid w:val="0044638B"/>
    <w:rsid w:val="00451957"/>
    <w:rsid w:val="00452BC0"/>
    <w:rsid w:val="004718E7"/>
    <w:rsid w:val="00472116"/>
    <w:rsid w:val="00473AB4"/>
    <w:rsid w:val="004823CA"/>
    <w:rsid w:val="00496192"/>
    <w:rsid w:val="004961D0"/>
    <w:rsid w:val="004A223B"/>
    <w:rsid w:val="004A3BA2"/>
    <w:rsid w:val="004A7D75"/>
    <w:rsid w:val="004B0D35"/>
    <w:rsid w:val="004B7ABD"/>
    <w:rsid w:val="004C315F"/>
    <w:rsid w:val="004C6D6E"/>
    <w:rsid w:val="004D0DEE"/>
    <w:rsid w:val="004D741F"/>
    <w:rsid w:val="004E24BF"/>
    <w:rsid w:val="004E28D1"/>
    <w:rsid w:val="004E6A87"/>
    <w:rsid w:val="004F06D2"/>
    <w:rsid w:val="004F1FC0"/>
    <w:rsid w:val="00501232"/>
    <w:rsid w:val="0050292B"/>
    <w:rsid w:val="00503916"/>
    <w:rsid w:val="00506615"/>
    <w:rsid w:val="005076EF"/>
    <w:rsid w:val="005131D7"/>
    <w:rsid w:val="00521AC7"/>
    <w:rsid w:val="00521F5A"/>
    <w:rsid w:val="00521FF1"/>
    <w:rsid w:val="005256F8"/>
    <w:rsid w:val="00526D1C"/>
    <w:rsid w:val="00527496"/>
    <w:rsid w:val="0054078F"/>
    <w:rsid w:val="00544B9F"/>
    <w:rsid w:val="0054729A"/>
    <w:rsid w:val="005545D8"/>
    <w:rsid w:val="0055794F"/>
    <w:rsid w:val="00562EF1"/>
    <w:rsid w:val="00562FD1"/>
    <w:rsid w:val="00563B35"/>
    <w:rsid w:val="00563F19"/>
    <w:rsid w:val="00564C5A"/>
    <w:rsid w:val="00567214"/>
    <w:rsid w:val="005703B7"/>
    <w:rsid w:val="00583CEA"/>
    <w:rsid w:val="005846B2"/>
    <w:rsid w:val="00592DA6"/>
    <w:rsid w:val="005A4BE9"/>
    <w:rsid w:val="005A5CDB"/>
    <w:rsid w:val="005B3D47"/>
    <w:rsid w:val="005B6F1A"/>
    <w:rsid w:val="005C039C"/>
    <w:rsid w:val="005C0BE8"/>
    <w:rsid w:val="005C0C04"/>
    <w:rsid w:val="005C7369"/>
    <w:rsid w:val="005D16BC"/>
    <w:rsid w:val="005D391C"/>
    <w:rsid w:val="005D5877"/>
    <w:rsid w:val="005E160D"/>
    <w:rsid w:val="005E4E63"/>
    <w:rsid w:val="005E65FF"/>
    <w:rsid w:val="005F103A"/>
    <w:rsid w:val="005F1936"/>
    <w:rsid w:val="005F281E"/>
    <w:rsid w:val="005F2EDA"/>
    <w:rsid w:val="005F325D"/>
    <w:rsid w:val="005F4CCF"/>
    <w:rsid w:val="005F5CA2"/>
    <w:rsid w:val="005F6143"/>
    <w:rsid w:val="005F7EB3"/>
    <w:rsid w:val="00602404"/>
    <w:rsid w:val="00607041"/>
    <w:rsid w:val="00610027"/>
    <w:rsid w:val="00617B88"/>
    <w:rsid w:val="00625DC8"/>
    <w:rsid w:val="006270BC"/>
    <w:rsid w:val="006311ED"/>
    <w:rsid w:val="00631C43"/>
    <w:rsid w:val="00632B7A"/>
    <w:rsid w:val="006372B2"/>
    <w:rsid w:val="0064044D"/>
    <w:rsid w:val="00640ECA"/>
    <w:rsid w:val="00642E02"/>
    <w:rsid w:val="00644EFB"/>
    <w:rsid w:val="00646554"/>
    <w:rsid w:val="00653BD9"/>
    <w:rsid w:val="006707A6"/>
    <w:rsid w:val="0067082E"/>
    <w:rsid w:val="00672D2F"/>
    <w:rsid w:val="006738BE"/>
    <w:rsid w:val="00676BB9"/>
    <w:rsid w:val="00683E5E"/>
    <w:rsid w:val="00687805"/>
    <w:rsid w:val="00691C1A"/>
    <w:rsid w:val="006930C0"/>
    <w:rsid w:val="006967DB"/>
    <w:rsid w:val="006977E0"/>
    <w:rsid w:val="006A203C"/>
    <w:rsid w:val="006A3686"/>
    <w:rsid w:val="006A61AE"/>
    <w:rsid w:val="006B1E08"/>
    <w:rsid w:val="006B68E0"/>
    <w:rsid w:val="006C0556"/>
    <w:rsid w:val="006C6B8E"/>
    <w:rsid w:val="006D11BB"/>
    <w:rsid w:val="006D4639"/>
    <w:rsid w:val="006D4C12"/>
    <w:rsid w:val="006D62D0"/>
    <w:rsid w:val="006F098D"/>
    <w:rsid w:val="006F3FD8"/>
    <w:rsid w:val="006F522A"/>
    <w:rsid w:val="006F6870"/>
    <w:rsid w:val="006F6B2E"/>
    <w:rsid w:val="006F6B94"/>
    <w:rsid w:val="00705FFF"/>
    <w:rsid w:val="007066F1"/>
    <w:rsid w:val="00710531"/>
    <w:rsid w:val="007133D1"/>
    <w:rsid w:val="00725BF3"/>
    <w:rsid w:val="00730796"/>
    <w:rsid w:val="00733824"/>
    <w:rsid w:val="00735267"/>
    <w:rsid w:val="007370A0"/>
    <w:rsid w:val="00743843"/>
    <w:rsid w:val="007447EB"/>
    <w:rsid w:val="00745E06"/>
    <w:rsid w:val="00747A5A"/>
    <w:rsid w:val="00752DD3"/>
    <w:rsid w:val="00753838"/>
    <w:rsid w:val="00756A87"/>
    <w:rsid w:val="0076227C"/>
    <w:rsid w:val="007629EB"/>
    <w:rsid w:val="00767F3F"/>
    <w:rsid w:val="007706D2"/>
    <w:rsid w:val="007774AE"/>
    <w:rsid w:val="0078247B"/>
    <w:rsid w:val="00787E99"/>
    <w:rsid w:val="007920F2"/>
    <w:rsid w:val="00796010"/>
    <w:rsid w:val="007A3490"/>
    <w:rsid w:val="007A4435"/>
    <w:rsid w:val="007A51A0"/>
    <w:rsid w:val="007A5510"/>
    <w:rsid w:val="007A5E8B"/>
    <w:rsid w:val="007B0C1C"/>
    <w:rsid w:val="007B1BE4"/>
    <w:rsid w:val="007B2F16"/>
    <w:rsid w:val="007C0A9E"/>
    <w:rsid w:val="007C15F4"/>
    <w:rsid w:val="007C2763"/>
    <w:rsid w:val="007C3962"/>
    <w:rsid w:val="007C5084"/>
    <w:rsid w:val="007C5A5B"/>
    <w:rsid w:val="007C5F51"/>
    <w:rsid w:val="007D1534"/>
    <w:rsid w:val="007D2194"/>
    <w:rsid w:val="007E2264"/>
    <w:rsid w:val="007F30B7"/>
    <w:rsid w:val="00801011"/>
    <w:rsid w:val="00802DF7"/>
    <w:rsid w:val="00803E67"/>
    <w:rsid w:val="00803EF8"/>
    <w:rsid w:val="0080479D"/>
    <w:rsid w:val="008104DC"/>
    <w:rsid w:val="00814F32"/>
    <w:rsid w:val="00815C2D"/>
    <w:rsid w:val="00822653"/>
    <w:rsid w:val="00823849"/>
    <w:rsid w:val="00832291"/>
    <w:rsid w:val="008327BA"/>
    <w:rsid w:val="008343C0"/>
    <w:rsid w:val="008362BC"/>
    <w:rsid w:val="00841A21"/>
    <w:rsid w:val="00842785"/>
    <w:rsid w:val="00853509"/>
    <w:rsid w:val="00857AE8"/>
    <w:rsid w:val="00861580"/>
    <w:rsid w:val="00861E97"/>
    <w:rsid w:val="0086743B"/>
    <w:rsid w:val="008821D5"/>
    <w:rsid w:val="008821D6"/>
    <w:rsid w:val="00885807"/>
    <w:rsid w:val="00895852"/>
    <w:rsid w:val="00895909"/>
    <w:rsid w:val="008B2CE6"/>
    <w:rsid w:val="008B5B59"/>
    <w:rsid w:val="008B6B74"/>
    <w:rsid w:val="008B74DF"/>
    <w:rsid w:val="008C089C"/>
    <w:rsid w:val="008C17F1"/>
    <w:rsid w:val="008C1A98"/>
    <w:rsid w:val="008C2979"/>
    <w:rsid w:val="008C3638"/>
    <w:rsid w:val="008C3ACB"/>
    <w:rsid w:val="008C51BE"/>
    <w:rsid w:val="008D4B28"/>
    <w:rsid w:val="008D5AF3"/>
    <w:rsid w:val="008F1198"/>
    <w:rsid w:val="008F1E7F"/>
    <w:rsid w:val="008F24E3"/>
    <w:rsid w:val="008F628A"/>
    <w:rsid w:val="00907FD0"/>
    <w:rsid w:val="00913688"/>
    <w:rsid w:val="00917BAD"/>
    <w:rsid w:val="00917DEF"/>
    <w:rsid w:val="0092038B"/>
    <w:rsid w:val="00926632"/>
    <w:rsid w:val="009279C6"/>
    <w:rsid w:val="009314BD"/>
    <w:rsid w:val="00931A8A"/>
    <w:rsid w:val="00934FD9"/>
    <w:rsid w:val="00940CD5"/>
    <w:rsid w:val="009433AB"/>
    <w:rsid w:val="00950183"/>
    <w:rsid w:val="00955F5E"/>
    <w:rsid w:val="0095667A"/>
    <w:rsid w:val="009604A5"/>
    <w:rsid w:val="00961E1B"/>
    <w:rsid w:val="00967D68"/>
    <w:rsid w:val="00967FEE"/>
    <w:rsid w:val="009715C1"/>
    <w:rsid w:val="00973DC7"/>
    <w:rsid w:val="0097614A"/>
    <w:rsid w:val="0098161F"/>
    <w:rsid w:val="00981E1C"/>
    <w:rsid w:val="00982FB0"/>
    <w:rsid w:val="00983ECB"/>
    <w:rsid w:val="0098513F"/>
    <w:rsid w:val="0098554B"/>
    <w:rsid w:val="009A0B1B"/>
    <w:rsid w:val="009B4AE8"/>
    <w:rsid w:val="009C3C8E"/>
    <w:rsid w:val="009C53FB"/>
    <w:rsid w:val="009C64C8"/>
    <w:rsid w:val="009D2EA1"/>
    <w:rsid w:val="009D31D7"/>
    <w:rsid w:val="009D6665"/>
    <w:rsid w:val="009E6DA2"/>
    <w:rsid w:val="009F4713"/>
    <w:rsid w:val="00A00803"/>
    <w:rsid w:val="00A01724"/>
    <w:rsid w:val="00A04820"/>
    <w:rsid w:val="00A06775"/>
    <w:rsid w:val="00A077F4"/>
    <w:rsid w:val="00A11E78"/>
    <w:rsid w:val="00A135CA"/>
    <w:rsid w:val="00A16FE1"/>
    <w:rsid w:val="00A17451"/>
    <w:rsid w:val="00A200CA"/>
    <w:rsid w:val="00A26B31"/>
    <w:rsid w:val="00A278BB"/>
    <w:rsid w:val="00A365D2"/>
    <w:rsid w:val="00A3771B"/>
    <w:rsid w:val="00A42C8E"/>
    <w:rsid w:val="00A47FD8"/>
    <w:rsid w:val="00A51692"/>
    <w:rsid w:val="00A6298D"/>
    <w:rsid w:val="00A63362"/>
    <w:rsid w:val="00A638D1"/>
    <w:rsid w:val="00A6678F"/>
    <w:rsid w:val="00A709DB"/>
    <w:rsid w:val="00A71728"/>
    <w:rsid w:val="00A820EE"/>
    <w:rsid w:val="00A82846"/>
    <w:rsid w:val="00A85DD4"/>
    <w:rsid w:val="00A87674"/>
    <w:rsid w:val="00AA01CA"/>
    <w:rsid w:val="00AA7FC4"/>
    <w:rsid w:val="00AB01CA"/>
    <w:rsid w:val="00AB0C17"/>
    <w:rsid w:val="00AB1CD2"/>
    <w:rsid w:val="00AB1F43"/>
    <w:rsid w:val="00AB735F"/>
    <w:rsid w:val="00AB789B"/>
    <w:rsid w:val="00AC4668"/>
    <w:rsid w:val="00AC469B"/>
    <w:rsid w:val="00AC54CE"/>
    <w:rsid w:val="00AC7B95"/>
    <w:rsid w:val="00AD0D9B"/>
    <w:rsid w:val="00AD7EB2"/>
    <w:rsid w:val="00AE26CB"/>
    <w:rsid w:val="00AE3288"/>
    <w:rsid w:val="00AF0563"/>
    <w:rsid w:val="00AF34A2"/>
    <w:rsid w:val="00B00362"/>
    <w:rsid w:val="00B017C0"/>
    <w:rsid w:val="00B04152"/>
    <w:rsid w:val="00B0601F"/>
    <w:rsid w:val="00B06379"/>
    <w:rsid w:val="00B12D1C"/>
    <w:rsid w:val="00B12E49"/>
    <w:rsid w:val="00B22CED"/>
    <w:rsid w:val="00B25869"/>
    <w:rsid w:val="00B30EBD"/>
    <w:rsid w:val="00B332DE"/>
    <w:rsid w:val="00B36ABD"/>
    <w:rsid w:val="00B36B8F"/>
    <w:rsid w:val="00B51A15"/>
    <w:rsid w:val="00B54B31"/>
    <w:rsid w:val="00B6023F"/>
    <w:rsid w:val="00B624DC"/>
    <w:rsid w:val="00B674FC"/>
    <w:rsid w:val="00B71045"/>
    <w:rsid w:val="00B72099"/>
    <w:rsid w:val="00B85C36"/>
    <w:rsid w:val="00B86A08"/>
    <w:rsid w:val="00B86BE6"/>
    <w:rsid w:val="00B947B4"/>
    <w:rsid w:val="00BA0884"/>
    <w:rsid w:val="00BA45F1"/>
    <w:rsid w:val="00BB4AE8"/>
    <w:rsid w:val="00BC05B0"/>
    <w:rsid w:val="00BC5658"/>
    <w:rsid w:val="00BC5DF4"/>
    <w:rsid w:val="00BD16FC"/>
    <w:rsid w:val="00BD2505"/>
    <w:rsid w:val="00BD6BE4"/>
    <w:rsid w:val="00BE1269"/>
    <w:rsid w:val="00BE3150"/>
    <w:rsid w:val="00BE37D4"/>
    <w:rsid w:val="00BE4CB1"/>
    <w:rsid w:val="00BF6969"/>
    <w:rsid w:val="00C013FB"/>
    <w:rsid w:val="00C02E85"/>
    <w:rsid w:val="00C02EC6"/>
    <w:rsid w:val="00C02F10"/>
    <w:rsid w:val="00C031CE"/>
    <w:rsid w:val="00C03E6B"/>
    <w:rsid w:val="00C04BAC"/>
    <w:rsid w:val="00C04C76"/>
    <w:rsid w:val="00C103E7"/>
    <w:rsid w:val="00C26B22"/>
    <w:rsid w:val="00C33148"/>
    <w:rsid w:val="00C34B87"/>
    <w:rsid w:val="00C35BC7"/>
    <w:rsid w:val="00C41108"/>
    <w:rsid w:val="00C444AD"/>
    <w:rsid w:val="00C509BA"/>
    <w:rsid w:val="00C56AD5"/>
    <w:rsid w:val="00C56F88"/>
    <w:rsid w:val="00C5772E"/>
    <w:rsid w:val="00C57CBE"/>
    <w:rsid w:val="00C62FE5"/>
    <w:rsid w:val="00C632D7"/>
    <w:rsid w:val="00C64F94"/>
    <w:rsid w:val="00C65388"/>
    <w:rsid w:val="00C666A9"/>
    <w:rsid w:val="00C75307"/>
    <w:rsid w:val="00C8093B"/>
    <w:rsid w:val="00C818DF"/>
    <w:rsid w:val="00C82531"/>
    <w:rsid w:val="00C87303"/>
    <w:rsid w:val="00C9076B"/>
    <w:rsid w:val="00C93156"/>
    <w:rsid w:val="00C94260"/>
    <w:rsid w:val="00C95805"/>
    <w:rsid w:val="00C96645"/>
    <w:rsid w:val="00C969CE"/>
    <w:rsid w:val="00CA24F9"/>
    <w:rsid w:val="00CA3BCB"/>
    <w:rsid w:val="00CA6286"/>
    <w:rsid w:val="00CC3A1E"/>
    <w:rsid w:val="00CC48CF"/>
    <w:rsid w:val="00CC4A2A"/>
    <w:rsid w:val="00CC76BE"/>
    <w:rsid w:val="00CD0211"/>
    <w:rsid w:val="00CD0C7A"/>
    <w:rsid w:val="00CD2F82"/>
    <w:rsid w:val="00CD3B1E"/>
    <w:rsid w:val="00CD4547"/>
    <w:rsid w:val="00CE06E5"/>
    <w:rsid w:val="00CE5827"/>
    <w:rsid w:val="00CF052F"/>
    <w:rsid w:val="00CF4665"/>
    <w:rsid w:val="00CF6D56"/>
    <w:rsid w:val="00CF7A3A"/>
    <w:rsid w:val="00D14214"/>
    <w:rsid w:val="00D14ED4"/>
    <w:rsid w:val="00D15EA0"/>
    <w:rsid w:val="00D170AD"/>
    <w:rsid w:val="00D20CB4"/>
    <w:rsid w:val="00D211B5"/>
    <w:rsid w:val="00D22115"/>
    <w:rsid w:val="00D224A9"/>
    <w:rsid w:val="00D25EE5"/>
    <w:rsid w:val="00D301D1"/>
    <w:rsid w:val="00D30F82"/>
    <w:rsid w:val="00D3582E"/>
    <w:rsid w:val="00D40CEC"/>
    <w:rsid w:val="00D438B9"/>
    <w:rsid w:val="00D44148"/>
    <w:rsid w:val="00D46EC2"/>
    <w:rsid w:val="00D5152B"/>
    <w:rsid w:val="00D51572"/>
    <w:rsid w:val="00D53F2F"/>
    <w:rsid w:val="00D54A2B"/>
    <w:rsid w:val="00D54C4C"/>
    <w:rsid w:val="00D55FD2"/>
    <w:rsid w:val="00D56DB5"/>
    <w:rsid w:val="00D62985"/>
    <w:rsid w:val="00D63DAD"/>
    <w:rsid w:val="00D65686"/>
    <w:rsid w:val="00D66EC1"/>
    <w:rsid w:val="00D678F0"/>
    <w:rsid w:val="00D733B1"/>
    <w:rsid w:val="00D73BFE"/>
    <w:rsid w:val="00D74F0D"/>
    <w:rsid w:val="00D815FE"/>
    <w:rsid w:val="00D81913"/>
    <w:rsid w:val="00D866ED"/>
    <w:rsid w:val="00D87BBA"/>
    <w:rsid w:val="00DA424B"/>
    <w:rsid w:val="00DB21B4"/>
    <w:rsid w:val="00DB4B22"/>
    <w:rsid w:val="00DB6372"/>
    <w:rsid w:val="00DB7C9A"/>
    <w:rsid w:val="00DC05E6"/>
    <w:rsid w:val="00DC0BA7"/>
    <w:rsid w:val="00DC1D2F"/>
    <w:rsid w:val="00DC24E2"/>
    <w:rsid w:val="00DC6D23"/>
    <w:rsid w:val="00DD0357"/>
    <w:rsid w:val="00DD3667"/>
    <w:rsid w:val="00DD7CBE"/>
    <w:rsid w:val="00DE04C8"/>
    <w:rsid w:val="00DE0E74"/>
    <w:rsid w:val="00DE1FA2"/>
    <w:rsid w:val="00DE2862"/>
    <w:rsid w:val="00DE2E14"/>
    <w:rsid w:val="00DF176D"/>
    <w:rsid w:val="00DF241E"/>
    <w:rsid w:val="00DF2A75"/>
    <w:rsid w:val="00E02542"/>
    <w:rsid w:val="00E10778"/>
    <w:rsid w:val="00E17BF5"/>
    <w:rsid w:val="00E43E09"/>
    <w:rsid w:val="00E51303"/>
    <w:rsid w:val="00E5199B"/>
    <w:rsid w:val="00E52B3B"/>
    <w:rsid w:val="00E542BA"/>
    <w:rsid w:val="00E55896"/>
    <w:rsid w:val="00E56361"/>
    <w:rsid w:val="00E57DCD"/>
    <w:rsid w:val="00E57E9D"/>
    <w:rsid w:val="00E6267D"/>
    <w:rsid w:val="00E6740B"/>
    <w:rsid w:val="00E70879"/>
    <w:rsid w:val="00E71C8F"/>
    <w:rsid w:val="00E74332"/>
    <w:rsid w:val="00E83935"/>
    <w:rsid w:val="00E861C8"/>
    <w:rsid w:val="00E87468"/>
    <w:rsid w:val="00E87CB6"/>
    <w:rsid w:val="00E91CE7"/>
    <w:rsid w:val="00E92EE3"/>
    <w:rsid w:val="00EA1420"/>
    <w:rsid w:val="00EA1D6C"/>
    <w:rsid w:val="00EA3C05"/>
    <w:rsid w:val="00EB07FF"/>
    <w:rsid w:val="00EB1997"/>
    <w:rsid w:val="00EB3C05"/>
    <w:rsid w:val="00EB570C"/>
    <w:rsid w:val="00EB576B"/>
    <w:rsid w:val="00EB6164"/>
    <w:rsid w:val="00EB6896"/>
    <w:rsid w:val="00EB6983"/>
    <w:rsid w:val="00EB7E19"/>
    <w:rsid w:val="00EC49A8"/>
    <w:rsid w:val="00ED0753"/>
    <w:rsid w:val="00EE19FA"/>
    <w:rsid w:val="00EE72D4"/>
    <w:rsid w:val="00EF0F83"/>
    <w:rsid w:val="00EF1922"/>
    <w:rsid w:val="00EF2B6F"/>
    <w:rsid w:val="00EF38D9"/>
    <w:rsid w:val="00EF3AC6"/>
    <w:rsid w:val="00EF7FAA"/>
    <w:rsid w:val="00F00270"/>
    <w:rsid w:val="00F02831"/>
    <w:rsid w:val="00F116E7"/>
    <w:rsid w:val="00F11DF4"/>
    <w:rsid w:val="00F22098"/>
    <w:rsid w:val="00F2306C"/>
    <w:rsid w:val="00F2435A"/>
    <w:rsid w:val="00F254DC"/>
    <w:rsid w:val="00F26EBD"/>
    <w:rsid w:val="00F27A48"/>
    <w:rsid w:val="00F34682"/>
    <w:rsid w:val="00F36926"/>
    <w:rsid w:val="00F4045E"/>
    <w:rsid w:val="00F42B63"/>
    <w:rsid w:val="00F45FCB"/>
    <w:rsid w:val="00F50151"/>
    <w:rsid w:val="00F51944"/>
    <w:rsid w:val="00F5587F"/>
    <w:rsid w:val="00F55C08"/>
    <w:rsid w:val="00F5665B"/>
    <w:rsid w:val="00F579EE"/>
    <w:rsid w:val="00F650B3"/>
    <w:rsid w:val="00F6694E"/>
    <w:rsid w:val="00F70358"/>
    <w:rsid w:val="00F73AE9"/>
    <w:rsid w:val="00F8278A"/>
    <w:rsid w:val="00F84A7F"/>
    <w:rsid w:val="00F85908"/>
    <w:rsid w:val="00F9529F"/>
    <w:rsid w:val="00F97FE3"/>
    <w:rsid w:val="00FA0ABF"/>
    <w:rsid w:val="00FA1532"/>
    <w:rsid w:val="00FA15F3"/>
    <w:rsid w:val="00FA7A22"/>
    <w:rsid w:val="00FB1446"/>
    <w:rsid w:val="00FB7BD5"/>
    <w:rsid w:val="00FC32FE"/>
    <w:rsid w:val="00FC3A82"/>
    <w:rsid w:val="00FC56FB"/>
    <w:rsid w:val="00FD04B6"/>
    <w:rsid w:val="00FD2511"/>
    <w:rsid w:val="00FD4914"/>
    <w:rsid w:val="00FD5113"/>
    <w:rsid w:val="00FE07EE"/>
    <w:rsid w:val="00FE098B"/>
    <w:rsid w:val="00FE488D"/>
    <w:rsid w:val="00FE52A9"/>
    <w:rsid w:val="00FE745C"/>
    <w:rsid w:val="00FF4092"/>
    <w:rsid w:val="00FF7A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E133"/>
  <w15:chartTrackingRefBased/>
  <w15:docId w15:val="{4BC45C13-DB76-4C14-B253-CFA087E3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19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5199B"/>
    <w:pPr>
      <w:spacing w:after="0" w:line="240" w:lineRule="auto"/>
    </w:pPr>
  </w:style>
  <w:style w:type="table" w:customStyle="1" w:styleId="TableNormal">
    <w:name w:val="Table Normal"/>
    <w:uiPriority w:val="2"/>
    <w:semiHidden/>
    <w:unhideWhenUsed/>
    <w:qFormat/>
    <w:rsid w:val="00E519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E5199B"/>
    <w:pPr>
      <w:spacing w:after="200" w:line="276" w:lineRule="auto"/>
      <w:ind w:left="720"/>
      <w:contextualSpacing/>
    </w:pPr>
  </w:style>
  <w:style w:type="character" w:styleId="Collegamentoipertestuale">
    <w:name w:val="Hyperlink"/>
    <w:basedOn w:val="Carpredefinitoparagrafo"/>
    <w:uiPriority w:val="99"/>
    <w:rsid w:val="00E5199B"/>
    <w:rPr>
      <w:rFonts w:cs="Times New Roman"/>
      <w:color w:val="0000FF"/>
      <w:u w:val="single"/>
    </w:rPr>
  </w:style>
  <w:style w:type="paragraph" w:styleId="Pidipagina">
    <w:name w:val="footer"/>
    <w:basedOn w:val="Normale"/>
    <w:link w:val="PidipaginaCarattere"/>
    <w:uiPriority w:val="99"/>
    <w:unhideWhenUsed/>
    <w:rsid w:val="00E519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199B"/>
  </w:style>
  <w:style w:type="paragraph" w:styleId="Revisione">
    <w:name w:val="Revision"/>
    <w:hidden/>
    <w:uiPriority w:val="99"/>
    <w:semiHidden/>
    <w:rsid w:val="003613B8"/>
    <w:pPr>
      <w:spacing w:after="0" w:line="240" w:lineRule="auto"/>
    </w:pPr>
  </w:style>
  <w:style w:type="character" w:styleId="Rimandocommento">
    <w:name w:val="annotation reference"/>
    <w:basedOn w:val="Carpredefinitoparagrafo"/>
    <w:uiPriority w:val="99"/>
    <w:semiHidden/>
    <w:unhideWhenUsed/>
    <w:rsid w:val="005131D7"/>
    <w:rPr>
      <w:sz w:val="16"/>
      <w:szCs w:val="16"/>
    </w:rPr>
  </w:style>
  <w:style w:type="paragraph" w:styleId="Testocommento">
    <w:name w:val="annotation text"/>
    <w:basedOn w:val="Normale"/>
    <w:link w:val="TestocommentoCarattere"/>
    <w:uiPriority w:val="99"/>
    <w:unhideWhenUsed/>
    <w:rsid w:val="005131D7"/>
    <w:pPr>
      <w:spacing w:line="240" w:lineRule="auto"/>
    </w:pPr>
    <w:rPr>
      <w:sz w:val="20"/>
      <w:szCs w:val="20"/>
    </w:rPr>
  </w:style>
  <w:style w:type="character" w:customStyle="1" w:styleId="TestocommentoCarattere">
    <w:name w:val="Testo commento Carattere"/>
    <w:basedOn w:val="Carpredefinitoparagrafo"/>
    <w:link w:val="Testocommento"/>
    <w:uiPriority w:val="99"/>
    <w:rsid w:val="005131D7"/>
    <w:rPr>
      <w:sz w:val="20"/>
      <w:szCs w:val="20"/>
    </w:rPr>
  </w:style>
  <w:style w:type="paragraph" w:styleId="Soggettocommento">
    <w:name w:val="annotation subject"/>
    <w:basedOn w:val="Testocommento"/>
    <w:next w:val="Testocommento"/>
    <w:link w:val="SoggettocommentoCarattere"/>
    <w:uiPriority w:val="99"/>
    <w:semiHidden/>
    <w:unhideWhenUsed/>
    <w:rsid w:val="005131D7"/>
    <w:rPr>
      <w:b/>
      <w:bCs/>
    </w:rPr>
  </w:style>
  <w:style w:type="character" w:customStyle="1" w:styleId="SoggettocommentoCarattere">
    <w:name w:val="Soggetto commento Carattere"/>
    <w:basedOn w:val="TestocommentoCarattere"/>
    <w:link w:val="Soggettocommento"/>
    <w:uiPriority w:val="99"/>
    <w:semiHidden/>
    <w:rsid w:val="005131D7"/>
    <w:rPr>
      <w:b/>
      <w:bCs/>
      <w:sz w:val="20"/>
      <w:szCs w:val="20"/>
    </w:rPr>
  </w:style>
  <w:style w:type="paragraph" w:styleId="Intestazione">
    <w:name w:val="header"/>
    <w:basedOn w:val="Normale"/>
    <w:link w:val="IntestazioneCarattere"/>
    <w:uiPriority w:val="99"/>
    <w:unhideWhenUsed/>
    <w:rsid w:val="000223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319"/>
  </w:style>
  <w:style w:type="paragraph" w:customStyle="1" w:styleId="Bullets">
    <w:name w:val="_Bullets"/>
    <w:basedOn w:val="Normale"/>
    <w:rsid w:val="00DC0BA7"/>
    <w:pPr>
      <w:numPr>
        <w:numId w:val="11"/>
      </w:numPr>
      <w:spacing w:after="60" w:line="220" w:lineRule="exact"/>
      <w:ind w:left="230" w:right="11" w:hanging="230"/>
      <w:jc w:val="both"/>
    </w:pPr>
    <w:rPr>
      <w:rFonts w:ascii="Calibri" w:hAnsi="Calibri" w:cs="Calibri"/>
      <w:color w:val="000000"/>
      <w:spacing w:val="-2"/>
      <w:sz w:val="19"/>
      <w:szCs w:val="19"/>
    </w:rPr>
  </w:style>
  <w:style w:type="character" w:customStyle="1" w:styleId="BodyTextChar">
    <w:name w:val="_BodyText Char"/>
    <w:basedOn w:val="Carpredefinitoparagrafo"/>
    <w:link w:val="BodyText"/>
    <w:locked/>
    <w:rsid w:val="00DC0BA7"/>
    <w:rPr>
      <w:color w:val="000000"/>
      <w:spacing w:val="-2"/>
    </w:rPr>
  </w:style>
  <w:style w:type="paragraph" w:customStyle="1" w:styleId="BodyText">
    <w:name w:val="_BodyText"/>
    <w:basedOn w:val="Normale"/>
    <w:link w:val="BodyTextChar"/>
    <w:rsid w:val="00DC0BA7"/>
    <w:pPr>
      <w:spacing w:after="120" w:line="240" w:lineRule="auto"/>
      <w:jc w:val="both"/>
    </w:pPr>
    <w:rPr>
      <w:color w:val="000000"/>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62339">
      <w:bodyDiv w:val="1"/>
      <w:marLeft w:val="0"/>
      <w:marRight w:val="0"/>
      <w:marTop w:val="0"/>
      <w:marBottom w:val="0"/>
      <w:divBdr>
        <w:top w:val="none" w:sz="0" w:space="0" w:color="auto"/>
        <w:left w:val="none" w:sz="0" w:space="0" w:color="auto"/>
        <w:bottom w:val="none" w:sz="0" w:space="0" w:color="auto"/>
        <w:right w:val="none" w:sz="0" w:space="0" w:color="auto"/>
      </w:divBdr>
    </w:div>
    <w:div w:id="933897416">
      <w:bodyDiv w:val="1"/>
      <w:marLeft w:val="0"/>
      <w:marRight w:val="0"/>
      <w:marTop w:val="0"/>
      <w:marBottom w:val="0"/>
      <w:divBdr>
        <w:top w:val="none" w:sz="0" w:space="0" w:color="auto"/>
        <w:left w:val="none" w:sz="0" w:space="0" w:color="auto"/>
        <w:bottom w:val="none" w:sz="0" w:space="0" w:color="auto"/>
        <w:right w:val="none" w:sz="0" w:space="0" w:color="auto"/>
      </w:divBdr>
    </w:div>
    <w:div w:id="1370640571">
      <w:bodyDiv w:val="1"/>
      <w:marLeft w:val="0"/>
      <w:marRight w:val="0"/>
      <w:marTop w:val="0"/>
      <w:marBottom w:val="0"/>
      <w:divBdr>
        <w:top w:val="none" w:sz="0" w:space="0" w:color="auto"/>
        <w:left w:val="none" w:sz="0" w:space="0" w:color="auto"/>
        <w:bottom w:val="none" w:sz="0" w:space="0" w:color="auto"/>
        <w:right w:val="none" w:sz="0" w:space="0" w:color="auto"/>
      </w:divBdr>
    </w:div>
    <w:div w:id="1758551698">
      <w:bodyDiv w:val="1"/>
      <w:marLeft w:val="0"/>
      <w:marRight w:val="0"/>
      <w:marTop w:val="0"/>
      <w:marBottom w:val="0"/>
      <w:divBdr>
        <w:top w:val="none" w:sz="0" w:space="0" w:color="auto"/>
        <w:left w:val="none" w:sz="0" w:space="0" w:color="auto"/>
        <w:bottom w:val="none" w:sz="0" w:space="0" w:color="auto"/>
        <w:right w:val="none" w:sz="0" w:space="0" w:color="auto"/>
      </w:divBdr>
    </w:div>
    <w:div w:id="202901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ce.cagnoni@bc-communication.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1634</Words>
  <Characters>9318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Turco - BC Communication</dc:creator>
  <cp:keywords/>
  <dc:description/>
  <cp:lastModifiedBy>Info BC Communication</cp:lastModifiedBy>
  <cp:revision>161</cp:revision>
  <dcterms:created xsi:type="dcterms:W3CDTF">2023-07-24T14:34:00Z</dcterms:created>
  <dcterms:modified xsi:type="dcterms:W3CDTF">2023-12-19T09:59:00Z</dcterms:modified>
</cp:coreProperties>
</file>