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50D9" w14:textId="00020C25" w:rsidR="00BB679A" w:rsidRDefault="00BB679A" w:rsidP="00482A9F">
      <w:pPr>
        <w:spacing w:after="0" w:line="240" w:lineRule="auto"/>
        <w:contextualSpacing/>
        <w:rPr>
          <w:b/>
          <w:bCs/>
          <w:u w:val="single"/>
          <w:lang w:val="it-IT"/>
        </w:rPr>
      </w:pPr>
      <w:r w:rsidRPr="009C16D6">
        <w:rPr>
          <w:b/>
          <w:bCs/>
          <w:lang w:val="it-IT"/>
        </w:rPr>
        <w:t>T. Rowe Price</w:t>
      </w:r>
      <w:r w:rsidR="001E70A6" w:rsidRPr="009C16D6">
        <w:rPr>
          <w:b/>
          <w:bCs/>
          <w:lang w:val="it-IT"/>
        </w:rPr>
        <w:t xml:space="preserve"> -</w:t>
      </w:r>
      <w:r w:rsidR="00845230" w:rsidRPr="009C16D6">
        <w:rPr>
          <w:b/>
          <w:bCs/>
          <w:lang w:val="it-IT"/>
        </w:rPr>
        <w:t xml:space="preserve"> </w:t>
      </w:r>
      <w:r w:rsidR="001E70A6" w:rsidRPr="009C16D6">
        <w:rPr>
          <w:b/>
          <w:bCs/>
          <w:lang w:val="it-IT"/>
        </w:rPr>
        <w:t>I</w:t>
      </w:r>
      <w:r w:rsidR="00845230" w:rsidRPr="009C16D6">
        <w:rPr>
          <w:b/>
          <w:bCs/>
          <w:lang w:val="it-IT"/>
        </w:rPr>
        <w:t>n attesa del r</w:t>
      </w:r>
      <w:r w:rsidR="00691B2D" w:rsidRPr="009C16D6">
        <w:rPr>
          <w:b/>
          <w:bCs/>
          <w:lang w:val="it-IT"/>
        </w:rPr>
        <w:t>ally natalizio</w:t>
      </w:r>
      <w:r w:rsidR="00845230" w:rsidRPr="009C16D6">
        <w:rPr>
          <w:b/>
          <w:bCs/>
          <w:lang w:val="it-IT"/>
        </w:rPr>
        <w:t xml:space="preserve">, </w:t>
      </w:r>
      <w:r w:rsidR="001E70A6" w:rsidRPr="009C16D6">
        <w:rPr>
          <w:b/>
          <w:bCs/>
          <w:lang w:val="it-IT"/>
        </w:rPr>
        <w:t xml:space="preserve">rimangono i rischi di </w:t>
      </w:r>
      <w:r w:rsidR="001E70A6" w:rsidRPr="00141603">
        <w:rPr>
          <w:b/>
          <w:bCs/>
          <w:lang w:val="it-IT"/>
        </w:rPr>
        <w:t>rialzo dell’inflazione</w:t>
      </w:r>
      <w:r w:rsidR="001E6093">
        <w:rPr>
          <w:b/>
          <w:bCs/>
          <w:u w:val="single"/>
          <w:lang w:val="it-IT"/>
        </w:rPr>
        <w:t xml:space="preserve"> </w:t>
      </w:r>
    </w:p>
    <w:p w14:paraId="00C920DE" w14:textId="77777777" w:rsidR="00482A9F" w:rsidRDefault="00482A9F" w:rsidP="00482A9F">
      <w:pPr>
        <w:spacing w:after="0" w:line="240" w:lineRule="auto"/>
        <w:contextualSpacing/>
        <w:rPr>
          <w:lang w:val="it-IT"/>
        </w:rPr>
      </w:pPr>
    </w:p>
    <w:p w14:paraId="58A59F00" w14:textId="7A1B34E5" w:rsidR="00BB679A" w:rsidRDefault="00BB679A" w:rsidP="00482A9F">
      <w:pPr>
        <w:spacing w:after="0" w:line="240" w:lineRule="auto"/>
        <w:contextualSpacing/>
        <w:rPr>
          <w:b/>
          <w:bCs/>
          <w:u w:val="single"/>
          <w:lang w:val="it-IT"/>
        </w:rPr>
      </w:pPr>
      <w:r w:rsidRPr="00F67BC0">
        <w:rPr>
          <w:lang w:val="it-IT"/>
        </w:rPr>
        <w:t>A cura di</w:t>
      </w:r>
      <w:r w:rsidRPr="00F67BC0">
        <w:rPr>
          <w:b/>
          <w:bCs/>
          <w:lang w:val="it-IT"/>
        </w:rPr>
        <w:t xml:space="preserve"> Ritu Vohora,</w:t>
      </w:r>
      <w:r w:rsidRPr="009C16D6">
        <w:rPr>
          <w:rFonts w:ascii="Calibri" w:hAnsi="Calibri" w:cs="Calibri"/>
          <w:b/>
          <w:bCs/>
          <w:lang w:val="it-IT"/>
        </w:rPr>
        <w:t xml:space="preserve"> Investment Specialist, Capital markets, T. Rowe Price</w:t>
      </w:r>
    </w:p>
    <w:p w14:paraId="79E5F661" w14:textId="2A3BA73D" w:rsidR="00D25CDA" w:rsidRPr="00CF183B" w:rsidRDefault="00D25CDA" w:rsidP="00482A9F">
      <w:pPr>
        <w:spacing w:after="0" w:line="240" w:lineRule="auto"/>
        <w:contextualSpacing/>
        <w:rPr>
          <w:b/>
          <w:bCs/>
          <w:u w:val="single"/>
          <w:lang w:val="it-IT"/>
        </w:rPr>
      </w:pPr>
      <w:r w:rsidRPr="00CF183B">
        <w:rPr>
          <w:b/>
          <w:bCs/>
          <w:u w:val="single"/>
          <w:lang w:val="it-IT"/>
        </w:rPr>
        <w:t xml:space="preserve">  </w:t>
      </w:r>
    </w:p>
    <w:p w14:paraId="50723F7A" w14:textId="7B9967B8" w:rsidR="00D25CDA" w:rsidRDefault="00D25CDA" w:rsidP="00482A9F">
      <w:pPr>
        <w:spacing w:after="0" w:line="240" w:lineRule="auto"/>
        <w:contextualSpacing/>
        <w:rPr>
          <w:lang w:val="it-IT"/>
        </w:rPr>
      </w:pPr>
      <w:r w:rsidRPr="00CF183B">
        <w:rPr>
          <w:lang w:val="it-IT"/>
        </w:rPr>
        <w:t xml:space="preserve">Con </w:t>
      </w:r>
      <w:r w:rsidR="00011720">
        <w:rPr>
          <w:lang w:val="it-IT"/>
        </w:rPr>
        <w:t>le feste</w:t>
      </w:r>
      <w:r w:rsidRPr="00CF183B">
        <w:rPr>
          <w:lang w:val="it-IT"/>
        </w:rPr>
        <w:t xml:space="preserve"> alle porte</w:t>
      </w:r>
      <w:r w:rsidRPr="009C16D6">
        <w:rPr>
          <w:lang w:val="it-IT"/>
        </w:rPr>
        <w:t>,</w:t>
      </w:r>
      <w:r w:rsidRPr="009C16D6">
        <w:rPr>
          <w:b/>
          <w:bCs/>
          <w:lang w:val="it-IT"/>
        </w:rPr>
        <w:t xml:space="preserve"> </w:t>
      </w:r>
      <w:r w:rsidR="00011720">
        <w:rPr>
          <w:b/>
          <w:bCs/>
          <w:lang w:val="it-IT"/>
        </w:rPr>
        <w:t xml:space="preserve">possiamo </w:t>
      </w:r>
      <w:r w:rsidR="001E70A6">
        <w:rPr>
          <w:b/>
          <w:bCs/>
          <w:lang w:val="it-IT"/>
        </w:rPr>
        <w:t>aspettarci</w:t>
      </w:r>
      <w:r w:rsidRPr="009C16D6">
        <w:rPr>
          <w:b/>
          <w:bCs/>
          <w:lang w:val="it-IT"/>
        </w:rPr>
        <w:t xml:space="preserve"> un </w:t>
      </w:r>
      <w:r w:rsidR="00BB679A" w:rsidRPr="009C16D6">
        <w:rPr>
          <w:b/>
          <w:bCs/>
          <w:lang w:val="it-IT"/>
        </w:rPr>
        <w:t>r</w:t>
      </w:r>
      <w:r w:rsidRPr="009C16D6">
        <w:rPr>
          <w:b/>
          <w:bCs/>
          <w:lang w:val="it-IT"/>
        </w:rPr>
        <w:t>ally di Babbo Natale?</w:t>
      </w:r>
      <w:r w:rsidRPr="00CF183B">
        <w:rPr>
          <w:lang w:val="it-IT"/>
        </w:rPr>
        <w:t xml:space="preserve"> I mercati globali hanno registrato un’impennata a metà novembre, quando i dati sull’inflazione in calo negli Stati Uniti e nel Regno Unito hanno rafforzato le speranze che le principali banche centrali abbiano finito di aumentare i costi di finanziamento.</w:t>
      </w:r>
    </w:p>
    <w:p w14:paraId="187FCE54" w14:textId="77777777" w:rsidR="00482A9F" w:rsidRPr="00CF183B" w:rsidRDefault="00482A9F" w:rsidP="00482A9F">
      <w:pPr>
        <w:spacing w:after="0" w:line="240" w:lineRule="auto"/>
        <w:contextualSpacing/>
        <w:rPr>
          <w:lang w:val="it-IT"/>
        </w:rPr>
      </w:pPr>
    </w:p>
    <w:p w14:paraId="281F8DE5" w14:textId="77777777" w:rsidR="00D25CDA" w:rsidRPr="009C16D6" w:rsidRDefault="00D25CDA" w:rsidP="00482A9F">
      <w:pPr>
        <w:spacing w:after="0" w:line="240" w:lineRule="auto"/>
        <w:contextualSpacing/>
        <w:rPr>
          <w:u w:val="single"/>
          <w:lang w:val="it-IT"/>
        </w:rPr>
      </w:pPr>
      <w:r w:rsidRPr="009C16D6">
        <w:rPr>
          <w:u w:val="single"/>
          <w:lang w:val="it-IT"/>
        </w:rPr>
        <w:t xml:space="preserve">Fine del ciclo di rialzo dei tassi  </w:t>
      </w:r>
    </w:p>
    <w:p w14:paraId="20F3E60D" w14:textId="2B551F2A" w:rsidR="00C5146E" w:rsidRDefault="00C5146E" w:rsidP="00482A9F">
      <w:pPr>
        <w:spacing w:after="0" w:line="240" w:lineRule="auto"/>
        <w:contextualSpacing/>
        <w:rPr>
          <w:lang w:val="it-IT"/>
        </w:rPr>
      </w:pPr>
      <w:r w:rsidRPr="009C16D6">
        <w:rPr>
          <w:b/>
          <w:bCs/>
          <w:lang w:val="it-IT"/>
        </w:rPr>
        <w:t>I dati sul C</w:t>
      </w:r>
      <w:r w:rsidR="00BB679A" w:rsidRPr="009C16D6">
        <w:rPr>
          <w:b/>
          <w:bCs/>
          <w:lang w:val="it-IT"/>
        </w:rPr>
        <w:t>pi</w:t>
      </w:r>
      <w:r w:rsidRPr="009C16D6">
        <w:rPr>
          <w:b/>
          <w:bCs/>
          <w:lang w:val="it-IT"/>
        </w:rPr>
        <w:t xml:space="preserve"> degli Stati Uniti hanno riportato una sorpresa al ribasso</w:t>
      </w:r>
      <w:r w:rsidR="00BB679A">
        <w:rPr>
          <w:lang w:val="it-IT"/>
        </w:rPr>
        <w:t>:</w:t>
      </w:r>
      <w:r w:rsidRPr="00CF183B">
        <w:rPr>
          <w:lang w:val="it-IT"/>
        </w:rPr>
        <w:t xml:space="preserve"> </w:t>
      </w:r>
      <w:r w:rsidR="00BB679A">
        <w:rPr>
          <w:lang w:val="it-IT"/>
        </w:rPr>
        <w:t>i</w:t>
      </w:r>
      <w:r w:rsidRPr="00CF183B">
        <w:rPr>
          <w:lang w:val="it-IT"/>
        </w:rPr>
        <w:t>l C</w:t>
      </w:r>
      <w:r w:rsidR="00BB679A">
        <w:rPr>
          <w:lang w:val="it-IT"/>
        </w:rPr>
        <w:t>pi</w:t>
      </w:r>
      <w:r w:rsidRPr="00CF183B">
        <w:rPr>
          <w:lang w:val="it-IT"/>
        </w:rPr>
        <w:t xml:space="preserve"> </w:t>
      </w:r>
      <w:r w:rsidR="00011720">
        <w:rPr>
          <w:lang w:val="it-IT"/>
        </w:rPr>
        <w:t>headline</w:t>
      </w:r>
      <w:r w:rsidR="00011720" w:rsidRPr="00CF183B">
        <w:rPr>
          <w:lang w:val="it-IT"/>
        </w:rPr>
        <w:t xml:space="preserve"> </w:t>
      </w:r>
      <w:r w:rsidRPr="00CF183B">
        <w:rPr>
          <w:lang w:val="it-IT"/>
        </w:rPr>
        <w:t>ha registrato un 3,2%, in calo rispetto al 3,7% di settembre</w:t>
      </w:r>
      <w:r w:rsidR="00011720">
        <w:rPr>
          <w:lang w:val="it-IT"/>
        </w:rPr>
        <w:t>,</w:t>
      </w:r>
      <w:r w:rsidRPr="00CF183B">
        <w:rPr>
          <w:lang w:val="it-IT"/>
        </w:rPr>
        <w:t xml:space="preserve"> al di sotto delle previsioni del 3,3%.</w:t>
      </w:r>
      <w:r w:rsidR="00482A9F">
        <w:rPr>
          <w:lang w:val="it-IT"/>
        </w:rPr>
        <w:t xml:space="preserve"> </w:t>
      </w:r>
      <w:r w:rsidRPr="00CF183B">
        <w:rPr>
          <w:lang w:val="it-IT"/>
        </w:rPr>
        <w:t xml:space="preserve">Questo ha provocato un </w:t>
      </w:r>
      <w:r w:rsidRPr="009C16D6">
        <w:rPr>
          <w:b/>
          <w:bCs/>
          <w:lang w:val="it-IT"/>
        </w:rPr>
        <w:t xml:space="preserve">forte calo dei rendimenti del </w:t>
      </w:r>
      <w:r w:rsidR="00EF6F2F" w:rsidRPr="00EF6F2F">
        <w:rPr>
          <w:b/>
          <w:bCs/>
          <w:lang w:val="it-IT"/>
        </w:rPr>
        <w:t xml:space="preserve">Treasury </w:t>
      </w:r>
      <w:r w:rsidRPr="009C16D6">
        <w:rPr>
          <w:b/>
          <w:bCs/>
          <w:lang w:val="it-IT"/>
        </w:rPr>
        <w:t>statunitense</w:t>
      </w:r>
      <w:r w:rsidRPr="00CF183B">
        <w:rPr>
          <w:lang w:val="it-IT"/>
        </w:rPr>
        <w:t xml:space="preserve">, lungo tutta la curva, e un </w:t>
      </w:r>
      <w:r w:rsidRPr="009C16D6">
        <w:rPr>
          <w:b/>
          <w:bCs/>
          <w:lang w:val="it-IT"/>
        </w:rPr>
        <w:t>rally nella maggior parte delle asset class</w:t>
      </w:r>
      <w:r w:rsidRPr="00CF183B">
        <w:rPr>
          <w:lang w:val="it-IT"/>
        </w:rPr>
        <w:t xml:space="preserve">. È stato un grande evento per i rialzisti dell’azionario. Il </w:t>
      </w:r>
      <w:r w:rsidR="007D09CA">
        <w:rPr>
          <w:lang w:val="it-IT"/>
        </w:rPr>
        <w:t>report</w:t>
      </w:r>
      <w:r w:rsidR="007D09CA" w:rsidRPr="00CF183B">
        <w:rPr>
          <w:lang w:val="it-IT"/>
        </w:rPr>
        <w:t xml:space="preserve"> </w:t>
      </w:r>
      <w:r w:rsidRPr="00CF183B">
        <w:rPr>
          <w:lang w:val="it-IT"/>
        </w:rPr>
        <w:t xml:space="preserve">ha </w:t>
      </w:r>
      <w:r w:rsidR="009E2E2E">
        <w:rPr>
          <w:lang w:val="it-IT"/>
        </w:rPr>
        <w:t>forse</w:t>
      </w:r>
      <w:r w:rsidR="009E2E2E" w:rsidRPr="00CF183B">
        <w:rPr>
          <w:lang w:val="it-IT"/>
        </w:rPr>
        <w:t xml:space="preserve"> </w:t>
      </w:r>
      <w:r w:rsidRPr="00CF183B">
        <w:rPr>
          <w:lang w:val="it-IT"/>
        </w:rPr>
        <w:t xml:space="preserve">confermato l’opinione del mercato che la Fed abbia terminato il suo ciclo di rialzi. Riteniamo che la Fed abbia raggiunto il tasso terminale per questo ciclo. Tuttavia, sarà importante ascoltare le </w:t>
      </w:r>
      <w:r w:rsidR="00977CFC">
        <w:rPr>
          <w:lang w:val="it-IT"/>
        </w:rPr>
        <w:t>sue</w:t>
      </w:r>
      <w:r w:rsidR="00977CFC" w:rsidRPr="00CF183B">
        <w:rPr>
          <w:lang w:val="it-IT"/>
        </w:rPr>
        <w:t xml:space="preserve"> </w:t>
      </w:r>
      <w:r w:rsidRPr="00CF183B">
        <w:rPr>
          <w:lang w:val="it-IT"/>
        </w:rPr>
        <w:t>comunicazioni sull’inflazione rispetto a</w:t>
      </w:r>
      <w:r w:rsidR="007D09CA">
        <w:rPr>
          <w:lang w:val="it-IT"/>
        </w:rPr>
        <w:t>l</w:t>
      </w:r>
      <w:r w:rsidRPr="00CF183B">
        <w:rPr>
          <w:lang w:val="it-IT"/>
        </w:rPr>
        <w:t xml:space="preserve"> mercat</w:t>
      </w:r>
      <w:r w:rsidR="007D09CA">
        <w:rPr>
          <w:lang w:val="it-IT"/>
        </w:rPr>
        <w:t>o</w:t>
      </w:r>
      <w:r w:rsidRPr="00CF183B">
        <w:rPr>
          <w:lang w:val="it-IT"/>
        </w:rPr>
        <w:t xml:space="preserve"> del lavoro. Gli ultimi dati </w:t>
      </w:r>
      <w:r w:rsidR="007D09CA">
        <w:rPr>
          <w:lang w:val="it-IT"/>
        </w:rPr>
        <w:t>sulle retribuzioni</w:t>
      </w:r>
      <w:r w:rsidRPr="00CF183B">
        <w:rPr>
          <w:lang w:val="it-IT"/>
        </w:rPr>
        <w:t xml:space="preserve"> indicano che la domanda di lavoro si sta raffreddando, ma non vediamo ancora segni di debolezza significativa.</w:t>
      </w:r>
    </w:p>
    <w:p w14:paraId="7D122276" w14:textId="77777777" w:rsidR="00482A9F" w:rsidRPr="00CF183B" w:rsidRDefault="00482A9F" w:rsidP="00482A9F">
      <w:pPr>
        <w:spacing w:after="0" w:line="240" w:lineRule="auto"/>
        <w:contextualSpacing/>
        <w:rPr>
          <w:lang w:val="it-IT"/>
        </w:rPr>
      </w:pPr>
    </w:p>
    <w:p w14:paraId="47CD3E8A" w14:textId="638F5383" w:rsidR="00C5146E" w:rsidRDefault="00C5146E" w:rsidP="00482A9F">
      <w:pPr>
        <w:spacing w:after="0" w:line="240" w:lineRule="auto"/>
        <w:contextualSpacing/>
        <w:rPr>
          <w:lang w:val="it-IT"/>
        </w:rPr>
      </w:pPr>
      <w:r w:rsidRPr="00CF183B">
        <w:rPr>
          <w:lang w:val="it-IT"/>
        </w:rPr>
        <w:t xml:space="preserve">Dopo l’impennata dei rendimenti degli ultimi mesi, che ha schiacciato alcune parti del mercato, </w:t>
      </w:r>
      <w:r w:rsidRPr="009C16D6">
        <w:rPr>
          <w:b/>
          <w:bCs/>
          <w:lang w:val="it-IT"/>
        </w:rPr>
        <w:t>l’opinione che i tassi reali non debbano essere così restrittivi ha fornito un po’ di sollievo</w:t>
      </w:r>
      <w:r w:rsidRPr="00CF183B">
        <w:rPr>
          <w:lang w:val="it-IT"/>
        </w:rPr>
        <w:t xml:space="preserve"> e ha rafforzato le speranze che la Fed riesca a tenere sotto controllo l’alta inflazione senza causare una dolorosa recessione. </w:t>
      </w:r>
    </w:p>
    <w:p w14:paraId="7920D6DD" w14:textId="77777777" w:rsidR="00482A9F" w:rsidRPr="00CF183B" w:rsidRDefault="00482A9F" w:rsidP="00482A9F">
      <w:pPr>
        <w:spacing w:after="0" w:line="240" w:lineRule="auto"/>
        <w:contextualSpacing/>
        <w:rPr>
          <w:lang w:val="it-IT"/>
        </w:rPr>
      </w:pPr>
    </w:p>
    <w:p w14:paraId="27E5085B" w14:textId="65A062BB" w:rsidR="00C5146E" w:rsidRDefault="00C5146E" w:rsidP="00482A9F">
      <w:pPr>
        <w:spacing w:after="0" w:line="240" w:lineRule="auto"/>
        <w:contextualSpacing/>
        <w:rPr>
          <w:lang w:val="it-IT"/>
        </w:rPr>
      </w:pPr>
      <w:r w:rsidRPr="009C16D6">
        <w:rPr>
          <w:b/>
          <w:bCs/>
          <w:lang w:val="it-IT"/>
        </w:rPr>
        <w:t>La Fed ha già aumentato i tassi di interesse al livello più alto dal 2001</w:t>
      </w:r>
      <w:r w:rsidRPr="00CF183B">
        <w:rPr>
          <w:lang w:val="it-IT"/>
        </w:rPr>
        <w:t xml:space="preserve">, con l’ultimo rialzo a luglio. Gli investitori </w:t>
      </w:r>
      <w:r w:rsidR="00845230">
        <w:rPr>
          <w:lang w:val="it-IT"/>
        </w:rPr>
        <w:t>si chiedono</w:t>
      </w:r>
      <w:r w:rsidRPr="00CF183B">
        <w:rPr>
          <w:lang w:val="it-IT"/>
        </w:rPr>
        <w:t xml:space="preserve"> se </w:t>
      </w:r>
      <w:r w:rsidRPr="009C16D6">
        <w:rPr>
          <w:b/>
          <w:bCs/>
          <w:lang w:val="it-IT"/>
        </w:rPr>
        <w:t>il 2024 sarà l’anno dei tagli dei tassi</w:t>
      </w:r>
      <w:r w:rsidR="00977CFC">
        <w:rPr>
          <w:lang w:val="it-IT"/>
        </w:rPr>
        <w:t xml:space="preserve">, </w:t>
      </w:r>
      <w:r w:rsidRPr="00CF183B">
        <w:rPr>
          <w:lang w:val="it-IT"/>
        </w:rPr>
        <w:t xml:space="preserve">con due tagli prezzati entro luglio del prossimo anno. Questo nonostante i funzionari della Fed abbiano ribadito che probabilmente manterranno i tassi di interesse alti per un po’ di tempo, per garantire un calo sostenibile dell’inflazione. Quindi, sebbene la tempistica e l’entità di eventuali tagli rimangano incerte, ci troviamo in un </w:t>
      </w:r>
      <w:r w:rsidRPr="009C16D6">
        <w:rPr>
          <w:b/>
          <w:bCs/>
          <w:lang w:val="it-IT"/>
        </w:rPr>
        <w:t xml:space="preserve">nuovo regime di tassi più alti </w:t>
      </w:r>
      <w:r w:rsidR="007D09CA">
        <w:rPr>
          <w:b/>
          <w:bCs/>
          <w:lang w:val="it-IT"/>
        </w:rPr>
        <w:t>più a lungo</w:t>
      </w:r>
      <w:r w:rsidRPr="009C16D6">
        <w:rPr>
          <w:b/>
          <w:bCs/>
          <w:lang w:val="it-IT"/>
        </w:rPr>
        <w:t>.</w:t>
      </w:r>
      <w:r w:rsidRPr="00CF183B">
        <w:rPr>
          <w:lang w:val="it-IT"/>
        </w:rPr>
        <w:t xml:space="preserve"> Ciò significa una maggiore concorrenza per il capitale e i rendimenti reali dei portafogli saranno probabilmente più bassi rispetto all’ultimo decennio. </w:t>
      </w:r>
    </w:p>
    <w:p w14:paraId="560C19E1" w14:textId="77777777" w:rsidR="00482A9F" w:rsidRPr="00CF183B" w:rsidRDefault="00482A9F" w:rsidP="00482A9F">
      <w:pPr>
        <w:spacing w:after="0" w:line="240" w:lineRule="auto"/>
        <w:contextualSpacing/>
        <w:rPr>
          <w:lang w:val="it-IT"/>
        </w:rPr>
      </w:pPr>
    </w:p>
    <w:p w14:paraId="187E44D5" w14:textId="5B4588F8" w:rsidR="00C5146E" w:rsidRPr="00CF183B" w:rsidRDefault="007D09CA" w:rsidP="00482A9F">
      <w:pPr>
        <w:spacing w:after="0" w:line="240" w:lineRule="auto"/>
        <w:contextualSpacing/>
        <w:rPr>
          <w:lang w:val="it-IT"/>
        </w:rPr>
      </w:pPr>
      <w:r>
        <w:rPr>
          <w:lang w:val="it-IT"/>
        </w:rPr>
        <w:t>Il contesto</w:t>
      </w:r>
      <w:r w:rsidRPr="009E2E2E">
        <w:rPr>
          <w:lang w:val="it-IT"/>
        </w:rPr>
        <w:t xml:space="preserve"> </w:t>
      </w:r>
      <w:r w:rsidR="00C5146E" w:rsidRPr="009E2E2E">
        <w:rPr>
          <w:lang w:val="it-IT"/>
        </w:rPr>
        <w:t xml:space="preserve">d’investimento rimarrà </w:t>
      </w:r>
      <w:r w:rsidR="00977CFC" w:rsidRPr="009E2E2E">
        <w:rPr>
          <w:lang w:val="it-IT"/>
        </w:rPr>
        <w:t>complicato</w:t>
      </w:r>
      <w:r w:rsidR="009E2E2E" w:rsidRPr="009C16D6">
        <w:rPr>
          <w:lang w:val="it-IT"/>
        </w:rPr>
        <w:t xml:space="preserve"> da decifrare</w:t>
      </w:r>
      <w:r w:rsidR="00977CFC" w:rsidRPr="009E2E2E">
        <w:rPr>
          <w:lang w:val="it-IT"/>
        </w:rPr>
        <w:t xml:space="preserve"> </w:t>
      </w:r>
      <w:r w:rsidR="00C5146E" w:rsidRPr="009E2E2E">
        <w:rPr>
          <w:lang w:val="it-IT"/>
        </w:rPr>
        <w:t>mentre il mondo naviga attraverso le distorsioni post-pandemiche.</w:t>
      </w:r>
      <w:r w:rsidR="00C5146E" w:rsidRPr="00CF183B">
        <w:rPr>
          <w:lang w:val="it-IT"/>
        </w:rPr>
        <w:t xml:space="preserve"> </w:t>
      </w:r>
      <w:r w:rsidR="00C5146E" w:rsidRPr="009C16D6">
        <w:rPr>
          <w:b/>
          <w:bCs/>
          <w:lang w:val="it-IT"/>
        </w:rPr>
        <w:t xml:space="preserve">Il fragile equilibrio che ha sostenuto gli asset </w:t>
      </w:r>
      <w:r>
        <w:rPr>
          <w:b/>
          <w:bCs/>
          <w:lang w:val="it-IT"/>
        </w:rPr>
        <w:t xml:space="preserve">di rischio </w:t>
      </w:r>
      <w:r w:rsidR="00C5146E" w:rsidRPr="009C16D6">
        <w:rPr>
          <w:b/>
          <w:bCs/>
          <w:lang w:val="it-IT"/>
        </w:rPr>
        <w:t xml:space="preserve">fino ad oggi potrebbe persistere fino alla fine dell’anno e guidare un </w:t>
      </w:r>
      <w:r w:rsidR="00977CFC" w:rsidRPr="009C16D6">
        <w:rPr>
          <w:b/>
          <w:bCs/>
          <w:lang w:val="it-IT"/>
        </w:rPr>
        <w:t>r</w:t>
      </w:r>
      <w:r w:rsidR="00C5146E" w:rsidRPr="009C16D6">
        <w:rPr>
          <w:b/>
          <w:bCs/>
          <w:lang w:val="it-IT"/>
        </w:rPr>
        <w:t>ally natalizio</w:t>
      </w:r>
      <w:r w:rsidR="00C5146E" w:rsidRPr="00CF183B">
        <w:rPr>
          <w:lang w:val="it-IT"/>
        </w:rPr>
        <w:t xml:space="preserve">, ma rimaniamo preoccupati per </w:t>
      </w:r>
      <w:r w:rsidR="00C5146E" w:rsidRPr="009C16D6">
        <w:rPr>
          <w:b/>
          <w:bCs/>
          <w:lang w:val="it-IT"/>
        </w:rPr>
        <w:t>i rischi al rialzo dell’inflazione</w:t>
      </w:r>
      <w:r w:rsidR="00C5146E" w:rsidRPr="00CF183B">
        <w:rPr>
          <w:lang w:val="it-IT"/>
        </w:rPr>
        <w:t xml:space="preserve"> e al ribasso della crescita, soprattutto in considerazione degli effetti ritardati dell’inasprimento e dell’affievolirsi dei </w:t>
      </w:r>
      <w:r>
        <w:rPr>
          <w:lang w:val="it-IT"/>
        </w:rPr>
        <w:t>fattori che hanno favorito la</w:t>
      </w:r>
      <w:r w:rsidR="00C5146E" w:rsidRPr="00CF183B">
        <w:rPr>
          <w:lang w:val="it-IT"/>
        </w:rPr>
        <w:t xml:space="preserve"> resilienza dei consumatori.</w:t>
      </w:r>
    </w:p>
    <w:p w14:paraId="3F235494" w14:textId="15A4760D" w:rsidR="00C5146E" w:rsidRDefault="00C5146E" w:rsidP="00482A9F">
      <w:pPr>
        <w:spacing w:after="0" w:line="240" w:lineRule="auto"/>
        <w:contextualSpacing/>
        <w:rPr>
          <w:lang w:val="it-IT"/>
        </w:rPr>
      </w:pPr>
      <w:r w:rsidRPr="009C16D6">
        <w:rPr>
          <w:b/>
          <w:bCs/>
          <w:lang w:val="it-IT"/>
        </w:rPr>
        <w:t>Se da un lato prevediamo una maggiore volatilità, dall’altro è probabile che vedremo fonti di rendimento più diversificate</w:t>
      </w:r>
      <w:r w:rsidRPr="00CF183B">
        <w:rPr>
          <w:lang w:val="it-IT"/>
        </w:rPr>
        <w:t xml:space="preserve"> per coloro che si concentrano sui fondamentali e sulle valutazioni. Potrebbe essere un buon momento per diversificare le scorte.</w:t>
      </w:r>
    </w:p>
    <w:p w14:paraId="08E754AF" w14:textId="77777777" w:rsidR="00482A9F" w:rsidRPr="00CF183B" w:rsidRDefault="00482A9F" w:rsidP="00482A9F">
      <w:pPr>
        <w:spacing w:after="0" w:line="240" w:lineRule="auto"/>
        <w:contextualSpacing/>
        <w:rPr>
          <w:lang w:val="it-IT"/>
        </w:rPr>
      </w:pPr>
    </w:p>
    <w:p w14:paraId="78B59AA6" w14:textId="61519009" w:rsidR="00F54CB5" w:rsidRDefault="00C5146E" w:rsidP="00482A9F">
      <w:pPr>
        <w:spacing w:after="0" w:line="240" w:lineRule="auto"/>
        <w:contextualSpacing/>
        <w:rPr>
          <w:lang w:val="it-IT"/>
        </w:rPr>
      </w:pPr>
      <w:r w:rsidRPr="009C16D6">
        <w:rPr>
          <w:b/>
          <w:bCs/>
          <w:lang w:val="it-IT"/>
        </w:rPr>
        <w:t>Prevediamo che la crescita degli utili si estenderà a tutti i settori e a tutte le regioni</w:t>
      </w:r>
      <w:r w:rsidRPr="00CF183B">
        <w:rPr>
          <w:lang w:val="it-IT"/>
        </w:rPr>
        <w:t xml:space="preserve"> con un’ondata di innovazioni dirompenti nei settori chiave e un miglioramento delle prospettive strutturali per le materie prime che amplieranno il set di opportunità per le azioni globali nel 2024.</w:t>
      </w:r>
    </w:p>
    <w:p w14:paraId="320B9123" w14:textId="77777777" w:rsidR="00482A9F" w:rsidRPr="00CF183B" w:rsidRDefault="00482A9F" w:rsidP="00482A9F">
      <w:pPr>
        <w:spacing w:after="0" w:line="240" w:lineRule="auto"/>
        <w:contextualSpacing/>
        <w:rPr>
          <w:lang w:val="it-IT"/>
        </w:rPr>
      </w:pPr>
    </w:p>
    <w:p w14:paraId="69FAC1F2" w14:textId="110F95C5" w:rsidR="00F54CB5" w:rsidRPr="009C16D6" w:rsidRDefault="00F54CB5" w:rsidP="00482A9F">
      <w:pPr>
        <w:spacing w:after="0" w:line="240" w:lineRule="auto"/>
        <w:contextualSpacing/>
        <w:rPr>
          <w:u w:val="single"/>
          <w:lang w:val="it-IT"/>
        </w:rPr>
      </w:pPr>
      <w:r w:rsidRPr="009C16D6">
        <w:rPr>
          <w:u w:val="single"/>
          <w:lang w:val="it-IT"/>
        </w:rPr>
        <w:t xml:space="preserve">Game changer: </w:t>
      </w:r>
      <w:r w:rsidR="00C5146E" w:rsidRPr="009C16D6">
        <w:rPr>
          <w:u w:val="single"/>
          <w:lang w:val="it-IT"/>
        </w:rPr>
        <w:t>l’I</w:t>
      </w:r>
      <w:r w:rsidR="007D09CA">
        <w:rPr>
          <w:u w:val="single"/>
          <w:lang w:val="it-IT"/>
        </w:rPr>
        <w:t>A</w:t>
      </w:r>
      <w:r w:rsidR="00C5146E" w:rsidRPr="009C16D6">
        <w:rPr>
          <w:u w:val="single"/>
          <w:lang w:val="it-IT"/>
        </w:rPr>
        <w:t xml:space="preserve"> generativa </w:t>
      </w:r>
    </w:p>
    <w:p w14:paraId="28FF3562" w14:textId="4F2F28A2" w:rsidR="00BF733E" w:rsidRDefault="00BF733E" w:rsidP="00482A9F">
      <w:pPr>
        <w:spacing w:after="0" w:line="240" w:lineRule="auto"/>
        <w:contextualSpacing/>
        <w:rPr>
          <w:lang w:val="it-IT"/>
        </w:rPr>
      </w:pPr>
      <w:r w:rsidRPr="00CF183B">
        <w:rPr>
          <w:lang w:val="it-IT"/>
        </w:rPr>
        <w:t xml:space="preserve">La massiccia sovraperformance dei </w:t>
      </w:r>
      <w:r w:rsidRPr="009C16D6">
        <w:rPr>
          <w:b/>
          <w:bCs/>
          <w:lang w:val="it-IT"/>
        </w:rPr>
        <w:t>“Magnifici 7”, titoli tecnologici a mega-capitalizzazione, spinti dalle prospettive dell’</w:t>
      </w:r>
      <w:r w:rsidR="00977CFC" w:rsidRPr="009C16D6">
        <w:rPr>
          <w:b/>
          <w:bCs/>
          <w:lang w:val="it-IT"/>
        </w:rPr>
        <w:t>intelligenza artificiale</w:t>
      </w:r>
      <w:r w:rsidRPr="009C16D6">
        <w:rPr>
          <w:b/>
          <w:bCs/>
          <w:lang w:val="it-IT"/>
        </w:rPr>
        <w:t xml:space="preserve"> generativa</w:t>
      </w:r>
      <w:r w:rsidRPr="00CF183B">
        <w:rPr>
          <w:lang w:val="it-IT"/>
        </w:rPr>
        <w:t xml:space="preserve">, è stata una caratteristica distintiva del mercato </w:t>
      </w:r>
      <w:r w:rsidRPr="00CF183B">
        <w:rPr>
          <w:lang w:val="it-IT"/>
        </w:rPr>
        <w:lastRenderedPageBreak/>
        <w:t xml:space="preserve">azionario nel 2023, e ha determinato la più </w:t>
      </w:r>
      <w:r w:rsidR="007D09CA">
        <w:rPr>
          <w:lang w:val="it-IT"/>
        </w:rPr>
        <w:t>forte</w:t>
      </w:r>
      <w:r w:rsidR="007D09CA" w:rsidRPr="00CF183B">
        <w:rPr>
          <w:lang w:val="it-IT"/>
        </w:rPr>
        <w:t xml:space="preserve"> </w:t>
      </w:r>
      <w:r w:rsidRPr="00CF183B">
        <w:rPr>
          <w:lang w:val="it-IT"/>
        </w:rPr>
        <w:t xml:space="preserve">concentrazione di rendimenti dagli anni ’60.  Sebbene le valutazioni appaiano elevate in questa ristretta coorte, potrebbero essere in qualche modo giustificate dall’elevato rendimento del capitale proprio offerto da queste aziende (33% contro il 18% dell’S&amp;P 500).  </w:t>
      </w:r>
    </w:p>
    <w:p w14:paraId="23193943" w14:textId="77777777" w:rsidR="00482A9F" w:rsidRPr="00CF183B" w:rsidRDefault="00482A9F" w:rsidP="00482A9F">
      <w:pPr>
        <w:spacing w:after="0" w:line="240" w:lineRule="auto"/>
        <w:contextualSpacing/>
        <w:rPr>
          <w:lang w:val="it-IT"/>
        </w:rPr>
      </w:pPr>
    </w:p>
    <w:p w14:paraId="61AFC0A0" w14:textId="130537DA" w:rsidR="00BF733E" w:rsidRDefault="00BF733E" w:rsidP="00482A9F">
      <w:pPr>
        <w:spacing w:after="0" w:line="240" w:lineRule="auto"/>
        <w:contextualSpacing/>
        <w:rPr>
          <w:lang w:val="it-IT"/>
        </w:rPr>
      </w:pPr>
      <w:r w:rsidRPr="00CF183B">
        <w:rPr>
          <w:lang w:val="it-IT"/>
        </w:rPr>
        <w:t xml:space="preserve">Guardando al 2024, la crescita degli utili sarà un fattore determinante per i vincitori e i </w:t>
      </w:r>
      <w:r w:rsidR="001E70A6">
        <w:rPr>
          <w:lang w:val="it-IT"/>
        </w:rPr>
        <w:t>vinti</w:t>
      </w:r>
      <w:r w:rsidRPr="00CF183B">
        <w:rPr>
          <w:lang w:val="it-IT"/>
        </w:rPr>
        <w:t xml:space="preserve">. </w:t>
      </w:r>
      <w:r w:rsidRPr="009C16D6">
        <w:rPr>
          <w:b/>
          <w:bCs/>
          <w:lang w:val="it-IT"/>
        </w:rPr>
        <w:t>Riteniamo che molte aziende trarranno vantaggio dalle applicazioni dell’I</w:t>
      </w:r>
      <w:r w:rsidR="001E70A6">
        <w:rPr>
          <w:b/>
          <w:bCs/>
          <w:lang w:val="it-IT"/>
        </w:rPr>
        <w:t>A</w:t>
      </w:r>
      <w:r w:rsidRPr="009C16D6">
        <w:rPr>
          <w:b/>
          <w:bCs/>
          <w:lang w:val="it-IT"/>
        </w:rPr>
        <w:t xml:space="preserve"> nell’ambito tecnologi</w:t>
      </w:r>
      <w:r w:rsidR="001E70A6">
        <w:rPr>
          <w:b/>
          <w:bCs/>
          <w:lang w:val="it-IT"/>
        </w:rPr>
        <w:t>co</w:t>
      </w:r>
      <w:r w:rsidRPr="00CF183B">
        <w:rPr>
          <w:lang w:val="it-IT"/>
        </w:rPr>
        <w:t xml:space="preserve">, in settori più ampi e in aziende complesse con la capacità di migliorare la produttività. Le opportunità includono </w:t>
      </w:r>
      <w:r w:rsidR="001E70A6">
        <w:rPr>
          <w:lang w:val="it-IT"/>
        </w:rPr>
        <w:t>chi</w:t>
      </w:r>
      <w:r w:rsidRPr="00CF183B">
        <w:rPr>
          <w:lang w:val="it-IT"/>
        </w:rPr>
        <w:t xml:space="preserve"> supporta l’ecosistema dei chip, attraverso una gamma di titoli di software, semiconduttori, internet e data center. </w:t>
      </w:r>
      <w:r w:rsidRPr="009C16D6">
        <w:rPr>
          <w:b/>
          <w:bCs/>
          <w:lang w:val="it-IT"/>
        </w:rPr>
        <w:t xml:space="preserve">Le aziende vincenti saranno probabilmente quelle che stanno sviluppando la tecnologia ‘cardine’ </w:t>
      </w:r>
      <w:r w:rsidRPr="00CF183B">
        <w:rPr>
          <w:lang w:val="it-IT"/>
        </w:rPr>
        <w:t>per consentire il prossimo ciclo di innovazione e che hanno un percorso convincente di monetizzazione.</w:t>
      </w:r>
    </w:p>
    <w:p w14:paraId="09F4BB5C" w14:textId="77777777" w:rsidR="00482A9F" w:rsidRPr="00CF183B" w:rsidRDefault="00482A9F" w:rsidP="00482A9F">
      <w:pPr>
        <w:spacing w:after="0" w:line="240" w:lineRule="auto"/>
        <w:contextualSpacing/>
        <w:rPr>
          <w:lang w:val="it-IT"/>
        </w:rPr>
      </w:pPr>
    </w:p>
    <w:p w14:paraId="2E7D93AA" w14:textId="4A3C7266" w:rsidR="00BF733E" w:rsidRDefault="00BF733E" w:rsidP="00482A9F">
      <w:pPr>
        <w:spacing w:after="0" w:line="240" w:lineRule="auto"/>
        <w:contextualSpacing/>
        <w:rPr>
          <w:lang w:val="it-IT"/>
        </w:rPr>
      </w:pPr>
      <w:r w:rsidRPr="00CF183B">
        <w:rPr>
          <w:lang w:val="it-IT"/>
        </w:rPr>
        <w:t xml:space="preserve">Al di fuori dei titoli tecnologici dominanti, </w:t>
      </w:r>
      <w:r w:rsidRPr="009C16D6">
        <w:rPr>
          <w:b/>
          <w:bCs/>
          <w:lang w:val="it-IT"/>
        </w:rPr>
        <w:t>gli altri 493 titoli dell</w:t>
      </w:r>
      <w:r w:rsidR="001E70A6">
        <w:rPr>
          <w:b/>
          <w:bCs/>
          <w:lang w:val="it-IT"/>
        </w:rPr>
        <w:t>’</w:t>
      </w:r>
      <w:r w:rsidRPr="009C16D6">
        <w:rPr>
          <w:b/>
          <w:bCs/>
          <w:lang w:val="it-IT"/>
        </w:rPr>
        <w:t xml:space="preserve">S&amp;P sono scambiati a circa 15,6x </w:t>
      </w:r>
      <w:r w:rsidRPr="00CF183B">
        <w:rPr>
          <w:lang w:val="it-IT"/>
        </w:rPr>
        <w:t xml:space="preserve">i guadagni futuri. Si tratta di un valore </w:t>
      </w:r>
      <w:r w:rsidRPr="009C16D6">
        <w:rPr>
          <w:b/>
          <w:bCs/>
          <w:lang w:val="it-IT"/>
        </w:rPr>
        <w:t>in linea con il fair value</w:t>
      </w:r>
      <w:r w:rsidRPr="00CF183B">
        <w:rPr>
          <w:lang w:val="it-IT"/>
        </w:rPr>
        <w:t xml:space="preserve"> sia su base storica assoluta sia rispetto ai tassi di interesse. </w:t>
      </w:r>
    </w:p>
    <w:p w14:paraId="647C4E89" w14:textId="77777777" w:rsidR="00482A9F" w:rsidRPr="00CF183B" w:rsidRDefault="00482A9F" w:rsidP="00482A9F">
      <w:pPr>
        <w:spacing w:after="0" w:line="240" w:lineRule="auto"/>
        <w:contextualSpacing/>
        <w:rPr>
          <w:lang w:val="it-IT"/>
        </w:rPr>
      </w:pPr>
    </w:p>
    <w:p w14:paraId="12A41BD8" w14:textId="43AF3D03" w:rsidR="00BF733E" w:rsidRPr="009C16D6" w:rsidRDefault="00BF733E" w:rsidP="00482A9F">
      <w:pPr>
        <w:spacing w:after="0" w:line="240" w:lineRule="auto"/>
        <w:contextualSpacing/>
        <w:rPr>
          <w:u w:val="single"/>
          <w:lang w:val="it-IT"/>
        </w:rPr>
      </w:pPr>
      <w:r w:rsidRPr="009C16D6">
        <w:rPr>
          <w:u w:val="single"/>
          <w:lang w:val="it-IT"/>
        </w:rPr>
        <w:t xml:space="preserve">Energia: </w:t>
      </w:r>
      <w:r w:rsidR="009D01A0">
        <w:rPr>
          <w:u w:val="single"/>
          <w:lang w:val="it-IT"/>
        </w:rPr>
        <w:t>costi e investimenti in aumento</w:t>
      </w:r>
      <w:r w:rsidRPr="009C16D6">
        <w:rPr>
          <w:u w:val="single"/>
          <w:lang w:val="it-IT"/>
        </w:rPr>
        <w:t xml:space="preserve">  </w:t>
      </w:r>
    </w:p>
    <w:p w14:paraId="453832FE" w14:textId="34C48524" w:rsidR="00BF733E" w:rsidRDefault="00BF733E" w:rsidP="00482A9F">
      <w:pPr>
        <w:spacing w:after="0" w:line="240" w:lineRule="auto"/>
        <w:contextualSpacing/>
        <w:rPr>
          <w:b/>
          <w:bCs/>
          <w:color w:val="000000" w:themeColor="text1"/>
          <w:lang w:val="it-IT"/>
        </w:rPr>
      </w:pPr>
      <w:r w:rsidRPr="009C16D6">
        <w:rPr>
          <w:b/>
          <w:bCs/>
          <w:color w:val="000000" w:themeColor="text1"/>
          <w:lang w:val="it-IT"/>
        </w:rPr>
        <w:t>I cicli delle materie prime tendono a durare 10-15 anni</w:t>
      </w:r>
      <w:r w:rsidRPr="00CF183B">
        <w:rPr>
          <w:color w:val="000000" w:themeColor="text1"/>
          <w:lang w:val="it-IT"/>
        </w:rPr>
        <w:t xml:space="preserve">, guidati da lunghe ondate di produttività che determinano i prezzi. </w:t>
      </w:r>
      <w:r w:rsidRPr="009C16D6">
        <w:rPr>
          <w:b/>
          <w:bCs/>
          <w:color w:val="000000" w:themeColor="text1"/>
          <w:lang w:val="it-IT"/>
        </w:rPr>
        <w:t>Dal 2011 ci troviamo in un mercato orso</w:t>
      </w:r>
      <w:r w:rsidRPr="00CF183B">
        <w:rPr>
          <w:color w:val="000000" w:themeColor="text1"/>
          <w:lang w:val="it-IT"/>
        </w:rPr>
        <w:t xml:space="preserve">. Tuttavia, ora potremmo essere </w:t>
      </w:r>
      <w:r w:rsidR="009E2E2E">
        <w:rPr>
          <w:color w:val="000000" w:themeColor="text1"/>
          <w:lang w:val="it-IT"/>
        </w:rPr>
        <w:t>ad un punto di svolta</w:t>
      </w:r>
      <w:r w:rsidRPr="00CF183B">
        <w:rPr>
          <w:color w:val="000000" w:themeColor="text1"/>
          <w:lang w:val="it-IT"/>
        </w:rPr>
        <w:t xml:space="preserve">. La produttività energetica è scesa verso la fine del 2022 e ora si sta riprendendo. Questo sta alimentando l’aumento delle curve dei costi, in quanto i produttori hanno bisogno di prezzi di incentivo più alti per avviare nuovi progetti e aumentare l’offerta. </w:t>
      </w:r>
      <w:r w:rsidRPr="009C16D6">
        <w:rPr>
          <w:b/>
          <w:bCs/>
          <w:color w:val="000000" w:themeColor="text1"/>
          <w:lang w:val="it-IT"/>
        </w:rPr>
        <w:t xml:space="preserve">Questo probabilmente porterà ad un aumento strutturale dei prezzi dell’energia. </w:t>
      </w:r>
    </w:p>
    <w:p w14:paraId="47F4FC27" w14:textId="77777777" w:rsidR="00482A9F" w:rsidRPr="009C16D6" w:rsidRDefault="00482A9F" w:rsidP="00482A9F">
      <w:pPr>
        <w:spacing w:after="0" w:line="240" w:lineRule="auto"/>
        <w:contextualSpacing/>
        <w:rPr>
          <w:b/>
          <w:bCs/>
          <w:color w:val="000000" w:themeColor="text1"/>
          <w:lang w:val="it-IT"/>
        </w:rPr>
      </w:pPr>
    </w:p>
    <w:p w14:paraId="1809044E" w14:textId="0481F824" w:rsidR="00BF733E" w:rsidRPr="00CF183B" w:rsidRDefault="00BF733E" w:rsidP="00482A9F">
      <w:pPr>
        <w:spacing w:after="0" w:line="240" w:lineRule="auto"/>
        <w:contextualSpacing/>
        <w:rPr>
          <w:color w:val="000000" w:themeColor="text1"/>
          <w:lang w:val="it-IT"/>
        </w:rPr>
      </w:pPr>
      <w:r w:rsidRPr="00CF183B">
        <w:rPr>
          <w:color w:val="000000" w:themeColor="text1"/>
          <w:lang w:val="it-IT"/>
        </w:rPr>
        <w:t xml:space="preserve">Inoltre, poiché il mondo sta portando avanti ambizioni di decarbonizzazione, </w:t>
      </w:r>
      <w:r w:rsidRPr="009C16D6">
        <w:rPr>
          <w:b/>
          <w:bCs/>
          <w:color w:val="000000" w:themeColor="text1"/>
          <w:lang w:val="it-IT"/>
        </w:rPr>
        <w:t>la necessità di infrastrutture green alimenterà probabilmente un aumento della domanda di metalli e materiali</w:t>
      </w:r>
      <w:r w:rsidRPr="00CF183B">
        <w:rPr>
          <w:color w:val="000000" w:themeColor="text1"/>
          <w:lang w:val="it-IT"/>
        </w:rPr>
        <w:t xml:space="preserve"> e un nuovo boom di investimenti.  </w:t>
      </w:r>
      <w:r w:rsidRPr="009C16D6">
        <w:rPr>
          <w:b/>
          <w:bCs/>
          <w:color w:val="000000" w:themeColor="text1"/>
          <w:lang w:val="it-IT"/>
        </w:rPr>
        <w:t xml:space="preserve">In quanto fornitori </w:t>
      </w:r>
      <w:r w:rsidR="009E2E2E" w:rsidRPr="009C16D6">
        <w:rPr>
          <w:b/>
          <w:bCs/>
          <w:color w:val="000000" w:themeColor="text1"/>
          <w:lang w:val="it-IT"/>
        </w:rPr>
        <w:t>globali</w:t>
      </w:r>
      <w:r w:rsidRPr="009C16D6">
        <w:rPr>
          <w:b/>
          <w:bCs/>
          <w:color w:val="000000" w:themeColor="text1"/>
          <w:lang w:val="it-IT"/>
        </w:rPr>
        <w:t xml:space="preserve">, questo potrebbe </w:t>
      </w:r>
      <w:r w:rsidR="0081658B">
        <w:rPr>
          <w:b/>
          <w:bCs/>
          <w:color w:val="000000" w:themeColor="text1"/>
          <w:lang w:val="it-IT"/>
        </w:rPr>
        <w:t>giocare a favore</w:t>
      </w:r>
      <w:r w:rsidRPr="009C16D6">
        <w:rPr>
          <w:b/>
          <w:bCs/>
          <w:color w:val="000000" w:themeColor="text1"/>
          <w:lang w:val="it-IT"/>
        </w:rPr>
        <w:t xml:space="preserve"> </w:t>
      </w:r>
      <w:r w:rsidR="0081658B">
        <w:rPr>
          <w:b/>
          <w:bCs/>
          <w:color w:val="000000" w:themeColor="text1"/>
          <w:lang w:val="it-IT"/>
        </w:rPr>
        <w:t>de</w:t>
      </w:r>
      <w:r w:rsidRPr="009C16D6">
        <w:rPr>
          <w:b/>
          <w:bCs/>
          <w:color w:val="000000" w:themeColor="text1"/>
          <w:lang w:val="it-IT"/>
        </w:rPr>
        <w:t>i mercati emergenti</w:t>
      </w:r>
      <w:r w:rsidRPr="00CF183B">
        <w:rPr>
          <w:color w:val="000000" w:themeColor="text1"/>
          <w:lang w:val="it-IT"/>
        </w:rPr>
        <w:t xml:space="preserve">. </w:t>
      </w:r>
      <w:r w:rsidR="004B672D">
        <w:rPr>
          <w:color w:val="000000" w:themeColor="text1"/>
          <w:lang w:val="it-IT"/>
        </w:rPr>
        <w:t>Infine, anche</w:t>
      </w:r>
      <w:r w:rsidR="0090211B">
        <w:rPr>
          <w:color w:val="000000" w:themeColor="text1"/>
          <w:lang w:val="it-IT"/>
        </w:rPr>
        <w:t xml:space="preserve"> la volatilità geopolitica ha</w:t>
      </w:r>
      <w:r w:rsidRPr="00CF183B">
        <w:rPr>
          <w:color w:val="000000" w:themeColor="text1"/>
          <w:lang w:val="it-IT"/>
        </w:rPr>
        <w:t xml:space="preserve"> </w:t>
      </w:r>
      <w:r w:rsidR="00447B84">
        <w:rPr>
          <w:color w:val="000000" w:themeColor="text1"/>
          <w:lang w:val="it-IT"/>
        </w:rPr>
        <w:t xml:space="preserve">delle </w:t>
      </w:r>
      <w:r w:rsidRPr="00CF183B">
        <w:rPr>
          <w:color w:val="000000" w:themeColor="text1"/>
          <w:lang w:val="it-IT"/>
        </w:rPr>
        <w:t xml:space="preserve">implicazioni sulla sicurezza energetica </w:t>
      </w:r>
      <w:r w:rsidR="0090211B">
        <w:rPr>
          <w:color w:val="000000" w:themeColor="text1"/>
          <w:lang w:val="it-IT"/>
        </w:rPr>
        <w:t>e</w:t>
      </w:r>
      <w:r w:rsidRPr="00CF183B">
        <w:rPr>
          <w:color w:val="000000" w:themeColor="text1"/>
          <w:lang w:val="it-IT"/>
        </w:rPr>
        <w:t xml:space="preserve"> dovrebbe </w:t>
      </w:r>
      <w:r w:rsidR="00845230">
        <w:rPr>
          <w:color w:val="000000" w:themeColor="text1"/>
          <w:lang w:val="it-IT"/>
        </w:rPr>
        <w:t xml:space="preserve">contribuire a </w:t>
      </w:r>
      <w:r w:rsidR="0090211B">
        <w:rPr>
          <w:color w:val="000000" w:themeColor="text1"/>
          <w:lang w:val="it-IT"/>
        </w:rPr>
        <w:t>mantenere</w:t>
      </w:r>
      <w:r w:rsidR="0090211B" w:rsidRPr="00CF183B">
        <w:rPr>
          <w:color w:val="000000" w:themeColor="text1"/>
          <w:lang w:val="it-IT"/>
        </w:rPr>
        <w:t xml:space="preserve"> </w:t>
      </w:r>
      <w:r w:rsidRPr="00CF183B">
        <w:rPr>
          <w:color w:val="000000" w:themeColor="text1"/>
          <w:lang w:val="it-IT"/>
        </w:rPr>
        <w:t>prezzi del petrolio e del gas strutturalmente più elevati.</w:t>
      </w:r>
    </w:p>
    <w:p w14:paraId="7C31EB27" w14:textId="4503FE1B" w:rsidR="00F35E1B" w:rsidRPr="00CF183B" w:rsidRDefault="00F35E1B" w:rsidP="00482A9F">
      <w:pPr>
        <w:spacing w:after="0" w:line="240" w:lineRule="auto"/>
        <w:contextualSpacing/>
        <w:rPr>
          <w:color w:val="000000" w:themeColor="text1"/>
          <w:lang w:val="it-IT"/>
        </w:rPr>
      </w:pPr>
    </w:p>
    <w:sectPr w:rsidR="00F35E1B" w:rsidRPr="00CF1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98CB" w14:textId="77777777" w:rsidR="00DF7923" w:rsidRDefault="00DF7923" w:rsidP="002F478F">
      <w:pPr>
        <w:spacing w:after="0" w:line="240" w:lineRule="auto"/>
      </w:pPr>
      <w:r>
        <w:separator/>
      </w:r>
    </w:p>
  </w:endnote>
  <w:endnote w:type="continuationSeparator" w:id="0">
    <w:p w14:paraId="384E7811" w14:textId="77777777" w:rsidR="00DF7923" w:rsidRDefault="00DF7923" w:rsidP="002F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4DBA" w14:textId="77777777" w:rsidR="00DF7923" w:rsidRDefault="00DF7923" w:rsidP="002F478F">
      <w:pPr>
        <w:spacing w:after="0" w:line="240" w:lineRule="auto"/>
      </w:pPr>
      <w:r>
        <w:separator/>
      </w:r>
    </w:p>
  </w:footnote>
  <w:footnote w:type="continuationSeparator" w:id="0">
    <w:p w14:paraId="731750A5" w14:textId="77777777" w:rsidR="00DF7923" w:rsidRDefault="00DF7923" w:rsidP="002F4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F478F"/>
    <w:rsid w:val="00001027"/>
    <w:rsid w:val="00011720"/>
    <w:rsid w:val="0001271C"/>
    <w:rsid w:val="00032E3D"/>
    <w:rsid w:val="000358B2"/>
    <w:rsid w:val="00045E41"/>
    <w:rsid w:val="00050D69"/>
    <w:rsid w:val="00057991"/>
    <w:rsid w:val="000666C6"/>
    <w:rsid w:val="00072735"/>
    <w:rsid w:val="00076876"/>
    <w:rsid w:val="00082614"/>
    <w:rsid w:val="00085269"/>
    <w:rsid w:val="00087BFE"/>
    <w:rsid w:val="000A040A"/>
    <w:rsid w:val="000A0D45"/>
    <w:rsid w:val="000A219E"/>
    <w:rsid w:val="000B4F5E"/>
    <w:rsid w:val="000B75E4"/>
    <w:rsid w:val="000B761C"/>
    <w:rsid w:val="000C44CD"/>
    <w:rsid w:val="000D175C"/>
    <w:rsid w:val="000D5498"/>
    <w:rsid w:val="000E0FCB"/>
    <w:rsid w:val="000E1ED9"/>
    <w:rsid w:val="000E5718"/>
    <w:rsid w:val="000E780C"/>
    <w:rsid w:val="000F323D"/>
    <w:rsid w:val="0010132E"/>
    <w:rsid w:val="001020A6"/>
    <w:rsid w:val="00103AA8"/>
    <w:rsid w:val="00104AC7"/>
    <w:rsid w:val="00105ADA"/>
    <w:rsid w:val="00110DDA"/>
    <w:rsid w:val="0011340E"/>
    <w:rsid w:val="00117FB0"/>
    <w:rsid w:val="0012003E"/>
    <w:rsid w:val="00132677"/>
    <w:rsid w:val="0013614F"/>
    <w:rsid w:val="0013787A"/>
    <w:rsid w:val="0014708F"/>
    <w:rsid w:val="001559BB"/>
    <w:rsid w:val="0016500D"/>
    <w:rsid w:val="00167078"/>
    <w:rsid w:val="00171AA9"/>
    <w:rsid w:val="00173AFE"/>
    <w:rsid w:val="001757B3"/>
    <w:rsid w:val="00175904"/>
    <w:rsid w:val="00184132"/>
    <w:rsid w:val="00196035"/>
    <w:rsid w:val="00196207"/>
    <w:rsid w:val="001A532E"/>
    <w:rsid w:val="001A6810"/>
    <w:rsid w:val="001B1B4F"/>
    <w:rsid w:val="001B25AC"/>
    <w:rsid w:val="001B3957"/>
    <w:rsid w:val="001C49E5"/>
    <w:rsid w:val="001E23DA"/>
    <w:rsid w:val="001E5D0B"/>
    <w:rsid w:val="001E6093"/>
    <w:rsid w:val="001E70A6"/>
    <w:rsid w:val="0021049A"/>
    <w:rsid w:val="00213B7C"/>
    <w:rsid w:val="002231A3"/>
    <w:rsid w:val="00223661"/>
    <w:rsid w:val="00224A38"/>
    <w:rsid w:val="00224C12"/>
    <w:rsid w:val="002272B6"/>
    <w:rsid w:val="00262044"/>
    <w:rsid w:val="00263BCC"/>
    <w:rsid w:val="002642D4"/>
    <w:rsid w:val="0027278B"/>
    <w:rsid w:val="002863FC"/>
    <w:rsid w:val="00286CEE"/>
    <w:rsid w:val="002906D4"/>
    <w:rsid w:val="0029159E"/>
    <w:rsid w:val="00292A96"/>
    <w:rsid w:val="00295A09"/>
    <w:rsid w:val="002A22E2"/>
    <w:rsid w:val="002B1979"/>
    <w:rsid w:val="002B64E2"/>
    <w:rsid w:val="002C4BA2"/>
    <w:rsid w:val="002D4757"/>
    <w:rsid w:val="002D7190"/>
    <w:rsid w:val="002F478F"/>
    <w:rsid w:val="002F5A99"/>
    <w:rsid w:val="00301627"/>
    <w:rsid w:val="00304E40"/>
    <w:rsid w:val="0031171F"/>
    <w:rsid w:val="00320D89"/>
    <w:rsid w:val="00321314"/>
    <w:rsid w:val="00325B03"/>
    <w:rsid w:val="00326CC3"/>
    <w:rsid w:val="00326ECB"/>
    <w:rsid w:val="003311C5"/>
    <w:rsid w:val="00332D41"/>
    <w:rsid w:val="00334E59"/>
    <w:rsid w:val="00336478"/>
    <w:rsid w:val="00336F24"/>
    <w:rsid w:val="00337789"/>
    <w:rsid w:val="003450D3"/>
    <w:rsid w:val="00357810"/>
    <w:rsid w:val="003658BB"/>
    <w:rsid w:val="00371601"/>
    <w:rsid w:val="00397B9F"/>
    <w:rsid w:val="003C7EB6"/>
    <w:rsid w:val="003E4B0D"/>
    <w:rsid w:val="003E6943"/>
    <w:rsid w:val="003F08EF"/>
    <w:rsid w:val="003F34A7"/>
    <w:rsid w:val="003F65CC"/>
    <w:rsid w:val="00403585"/>
    <w:rsid w:val="00411C30"/>
    <w:rsid w:val="004141B0"/>
    <w:rsid w:val="00423090"/>
    <w:rsid w:val="00433A41"/>
    <w:rsid w:val="00441155"/>
    <w:rsid w:val="00447B84"/>
    <w:rsid w:val="0045190D"/>
    <w:rsid w:val="00451DCB"/>
    <w:rsid w:val="0045687C"/>
    <w:rsid w:val="00461546"/>
    <w:rsid w:val="00462E87"/>
    <w:rsid w:val="004636CE"/>
    <w:rsid w:val="00471CE4"/>
    <w:rsid w:val="00471F1F"/>
    <w:rsid w:val="00482A9F"/>
    <w:rsid w:val="00484191"/>
    <w:rsid w:val="004A03C5"/>
    <w:rsid w:val="004A10E7"/>
    <w:rsid w:val="004A2718"/>
    <w:rsid w:val="004A5C07"/>
    <w:rsid w:val="004B5EF5"/>
    <w:rsid w:val="004B672D"/>
    <w:rsid w:val="004B75DC"/>
    <w:rsid w:val="004B7D2E"/>
    <w:rsid w:val="004D2057"/>
    <w:rsid w:val="004D3E4A"/>
    <w:rsid w:val="004D574D"/>
    <w:rsid w:val="004F13AD"/>
    <w:rsid w:val="004F2206"/>
    <w:rsid w:val="00501164"/>
    <w:rsid w:val="00504C76"/>
    <w:rsid w:val="00515DE4"/>
    <w:rsid w:val="0052010A"/>
    <w:rsid w:val="00533DE8"/>
    <w:rsid w:val="005477C5"/>
    <w:rsid w:val="0055391F"/>
    <w:rsid w:val="00555593"/>
    <w:rsid w:val="00556AA3"/>
    <w:rsid w:val="005574AE"/>
    <w:rsid w:val="00565332"/>
    <w:rsid w:val="00565D3F"/>
    <w:rsid w:val="00577A01"/>
    <w:rsid w:val="00583F23"/>
    <w:rsid w:val="00585A74"/>
    <w:rsid w:val="005864AA"/>
    <w:rsid w:val="0059682B"/>
    <w:rsid w:val="005A369D"/>
    <w:rsid w:val="005A3902"/>
    <w:rsid w:val="005C251E"/>
    <w:rsid w:val="005C2748"/>
    <w:rsid w:val="005C281F"/>
    <w:rsid w:val="005C2862"/>
    <w:rsid w:val="005D0E7A"/>
    <w:rsid w:val="005D32A4"/>
    <w:rsid w:val="005E7F8F"/>
    <w:rsid w:val="005F521D"/>
    <w:rsid w:val="00601899"/>
    <w:rsid w:val="0060502D"/>
    <w:rsid w:val="00607452"/>
    <w:rsid w:val="00614B96"/>
    <w:rsid w:val="00620466"/>
    <w:rsid w:val="0063715B"/>
    <w:rsid w:val="00644067"/>
    <w:rsid w:val="00653A45"/>
    <w:rsid w:val="00662612"/>
    <w:rsid w:val="00677D4F"/>
    <w:rsid w:val="00681762"/>
    <w:rsid w:val="006817B4"/>
    <w:rsid w:val="00681ACB"/>
    <w:rsid w:val="0068235C"/>
    <w:rsid w:val="00691B2D"/>
    <w:rsid w:val="006B1784"/>
    <w:rsid w:val="006B51E5"/>
    <w:rsid w:val="006B55DA"/>
    <w:rsid w:val="006C4164"/>
    <w:rsid w:val="006C437E"/>
    <w:rsid w:val="006C4BFF"/>
    <w:rsid w:val="006D35DE"/>
    <w:rsid w:val="006D5717"/>
    <w:rsid w:val="006E7C2F"/>
    <w:rsid w:val="007015ED"/>
    <w:rsid w:val="007070C1"/>
    <w:rsid w:val="00707C97"/>
    <w:rsid w:val="00710C05"/>
    <w:rsid w:val="007136BA"/>
    <w:rsid w:val="00716364"/>
    <w:rsid w:val="0072150E"/>
    <w:rsid w:val="00725FC4"/>
    <w:rsid w:val="00730F83"/>
    <w:rsid w:val="00730FCE"/>
    <w:rsid w:val="00736ADF"/>
    <w:rsid w:val="00736BD3"/>
    <w:rsid w:val="00742044"/>
    <w:rsid w:val="00750202"/>
    <w:rsid w:val="0075604C"/>
    <w:rsid w:val="0075633D"/>
    <w:rsid w:val="00760896"/>
    <w:rsid w:val="007638E8"/>
    <w:rsid w:val="00776E3A"/>
    <w:rsid w:val="00783D90"/>
    <w:rsid w:val="007978DA"/>
    <w:rsid w:val="007A0987"/>
    <w:rsid w:val="007A1A01"/>
    <w:rsid w:val="007B2E89"/>
    <w:rsid w:val="007B62F3"/>
    <w:rsid w:val="007C19A6"/>
    <w:rsid w:val="007C7F67"/>
    <w:rsid w:val="007D09CA"/>
    <w:rsid w:val="007D347A"/>
    <w:rsid w:val="007D5B20"/>
    <w:rsid w:val="007E27EE"/>
    <w:rsid w:val="007F028C"/>
    <w:rsid w:val="007F731B"/>
    <w:rsid w:val="007F7BFD"/>
    <w:rsid w:val="008029D8"/>
    <w:rsid w:val="008036C1"/>
    <w:rsid w:val="00804E6A"/>
    <w:rsid w:val="00806BDD"/>
    <w:rsid w:val="00806F19"/>
    <w:rsid w:val="008071EF"/>
    <w:rsid w:val="00812977"/>
    <w:rsid w:val="0081445D"/>
    <w:rsid w:val="0081658B"/>
    <w:rsid w:val="00820FA5"/>
    <w:rsid w:val="00823235"/>
    <w:rsid w:val="008313CB"/>
    <w:rsid w:val="00835AF5"/>
    <w:rsid w:val="00836512"/>
    <w:rsid w:val="0083722E"/>
    <w:rsid w:val="00837CB1"/>
    <w:rsid w:val="00845230"/>
    <w:rsid w:val="00861E71"/>
    <w:rsid w:val="008654AF"/>
    <w:rsid w:val="00875F7B"/>
    <w:rsid w:val="00876637"/>
    <w:rsid w:val="00882208"/>
    <w:rsid w:val="0088359C"/>
    <w:rsid w:val="0089725B"/>
    <w:rsid w:val="008A340E"/>
    <w:rsid w:val="008A5A80"/>
    <w:rsid w:val="008A72D1"/>
    <w:rsid w:val="008B0ACB"/>
    <w:rsid w:val="008D0AA2"/>
    <w:rsid w:val="008D285A"/>
    <w:rsid w:val="008D3770"/>
    <w:rsid w:val="008E251C"/>
    <w:rsid w:val="008E2750"/>
    <w:rsid w:val="008E43B7"/>
    <w:rsid w:val="008E48B8"/>
    <w:rsid w:val="008F6519"/>
    <w:rsid w:val="0090211B"/>
    <w:rsid w:val="00907D26"/>
    <w:rsid w:val="00910D58"/>
    <w:rsid w:val="00911933"/>
    <w:rsid w:val="00911EB4"/>
    <w:rsid w:val="00915620"/>
    <w:rsid w:val="0091639D"/>
    <w:rsid w:val="00916E54"/>
    <w:rsid w:val="00934DAC"/>
    <w:rsid w:val="0093553F"/>
    <w:rsid w:val="00960DBA"/>
    <w:rsid w:val="00977CFC"/>
    <w:rsid w:val="00981B5B"/>
    <w:rsid w:val="00984422"/>
    <w:rsid w:val="00986160"/>
    <w:rsid w:val="009938BE"/>
    <w:rsid w:val="009943D5"/>
    <w:rsid w:val="009B040C"/>
    <w:rsid w:val="009B4725"/>
    <w:rsid w:val="009C16D6"/>
    <w:rsid w:val="009C3479"/>
    <w:rsid w:val="009C3FD7"/>
    <w:rsid w:val="009C58DD"/>
    <w:rsid w:val="009D01A0"/>
    <w:rsid w:val="009D1C32"/>
    <w:rsid w:val="009E2E2E"/>
    <w:rsid w:val="009E4BE6"/>
    <w:rsid w:val="009E6402"/>
    <w:rsid w:val="00A017BF"/>
    <w:rsid w:val="00A04351"/>
    <w:rsid w:val="00A0483E"/>
    <w:rsid w:val="00A0682A"/>
    <w:rsid w:val="00A07929"/>
    <w:rsid w:val="00A1537A"/>
    <w:rsid w:val="00A17F3A"/>
    <w:rsid w:val="00A27EF6"/>
    <w:rsid w:val="00A305F2"/>
    <w:rsid w:val="00A30FBD"/>
    <w:rsid w:val="00A41F82"/>
    <w:rsid w:val="00A42A97"/>
    <w:rsid w:val="00A52DD5"/>
    <w:rsid w:val="00A632DB"/>
    <w:rsid w:val="00A83472"/>
    <w:rsid w:val="00A852F8"/>
    <w:rsid w:val="00AA1887"/>
    <w:rsid w:val="00AA2DAC"/>
    <w:rsid w:val="00AA439B"/>
    <w:rsid w:val="00AA4461"/>
    <w:rsid w:val="00AA7F61"/>
    <w:rsid w:val="00AB2AFD"/>
    <w:rsid w:val="00AC09A0"/>
    <w:rsid w:val="00AD518C"/>
    <w:rsid w:val="00AF3ED2"/>
    <w:rsid w:val="00B011EA"/>
    <w:rsid w:val="00B17758"/>
    <w:rsid w:val="00B2237B"/>
    <w:rsid w:val="00B2543C"/>
    <w:rsid w:val="00B31DBA"/>
    <w:rsid w:val="00B35BDA"/>
    <w:rsid w:val="00B35E07"/>
    <w:rsid w:val="00B41796"/>
    <w:rsid w:val="00B417F6"/>
    <w:rsid w:val="00B43932"/>
    <w:rsid w:val="00B5407F"/>
    <w:rsid w:val="00B72A85"/>
    <w:rsid w:val="00B80AB3"/>
    <w:rsid w:val="00B82D8D"/>
    <w:rsid w:val="00B90495"/>
    <w:rsid w:val="00B91D15"/>
    <w:rsid w:val="00B97768"/>
    <w:rsid w:val="00BA13A7"/>
    <w:rsid w:val="00BB679A"/>
    <w:rsid w:val="00BB763C"/>
    <w:rsid w:val="00BD0684"/>
    <w:rsid w:val="00BD1237"/>
    <w:rsid w:val="00BD65E7"/>
    <w:rsid w:val="00BE26BD"/>
    <w:rsid w:val="00BF510B"/>
    <w:rsid w:val="00BF733E"/>
    <w:rsid w:val="00C05E12"/>
    <w:rsid w:val="00C15E36"/>
    <w:rsid w:val="00C16F5C"/>
    <w:rsid w:val="00C31830"/>
    <w:rsid w:val="00C323D8"/>
    <w:rsid w:val="00C3390E"/>
    <w:rsid w:val="00C356B3"/>
    <w:rsid w:val="00C5146E"/>
    <w:rsid w:val="00C627BA"/>
    <w:rsid w:val="00C63A3E"/>
    <w:rsid w:val="00C73F97"/>
    <w:rsid w:val="00C7580C"/>
    <w:rsid w:val="00C77C57"/>
    <w:rsid w:val="00C82C85"/>
    <w:rsid w:val="00CA0678"/>
    <w:rsid w:val="00CA146F"/>
    <w:rsid w:val="00CA6CCB"/>
    <w:rsid w:val="00CB431A"/>
    <w:rsid w:val="00CC5AA1"/>
    <w:rsid w:val="00CD0C63"/>
    <w:rsid w:val="00CE3740"/>
    <w:rsid w:val="00CF183B"/>
    <w:rsid w:val="00CF19D0"/>
    <w:rsid w:val="00D02232"/>
    <w:rsid w:val="00D04437"/>
    <w:rsid w:val="00D057FD"/>
    <w:rsid w:val="00D10CD6"/>
    <w:rsid w:val="00D12D1E"/>
    <w:rsid w:val="00D229A5"/>
    <w:rsid w:val="00D246EC"/>
    <w:rsid w:val="00D256AE"/>
    <w:rsid w:val="00D25CDA"/>
    <w:rsid w:val="00D3109E"/>
    <w:rsid w:val="00D4005B"/>
    <w:rsid w:val="00D445E4"/>
    <w:rsid w:val="00D50B48"/>
    <w:rsid w:val="00D52EDF"/>
    <w:rsid w:val="00D60A34"/>
    <w:rsid w:val="00D640A0"/>
    <w:rsid w:val="00D734C1"/>
    <w:rsid w:val="00D90BAD"/>
    <w:rsid w:val="00D90C16"/>
    <w:rsid w:val="00DA5548"/>
    <w:rsid w:val="00DA7177"/>
    <w:rsid w:val="00DB1C8A"/>
    <w:rsid w:val="00DB41A1"/>
    <w:rsid w:val="00DD57DC"/>
    <w:rsid w:val="00DD5965"/>
    <w:rsid w:val="00DF1978"/>
    <w:rsid w:val="00DF320D"/>
    <w:rsid w:val="00DF46F0"/>
    <w:rsid w:val="00DF7364"/>
    <w:rsid w:val="00DF7923"/>
    <w:rsid w:val="00E066D6"/>
    <w:rsid w:val="00E1506E"/>
    <w:rsid w:val="00E22322"/>
    <w:rsid w:val="00E3047C"/>
    <w:rsid w:val="00E35C2A"/>
    <w:rsid w:val="00E5608C"/>
    <w:rsid w:val="00E72965"/>
    <w:rsid w:val="00E73570"/>
    <w:rsid w:val="00E73A7B"/>
    <w:rsid w:val="00E961D6"/>
    <w:rsid w:val="00E97BDA"/>
    <w:rsid w:val="00EA1C46"/>
    <w:rsid w:val="00EA59CC"/>
    <w:rsid w:val="00EA6D83"/>
    <w:rsid w:val="00EB65FF"/>
    <w:rsid w:val="00EB76FC"/>
    <w:rsid w:val="00EC0BCB"/>
    <w:rsid w:val="00EC2136"/>
    <w:rsid w:val="00ED124E"/>
    <w:rsid w:val="00ED1E39"/>
    <w:rsid w:val="00ED262A"/>
    <w:rsid w:val="00ED5A0F"/>
    <w:rsid w:val="00EE0D3B"/>
    <w:rsid w:val="00EE740B"/>
    <w:rsid w:val="00EF051E"/>
    <w:rsid w:val="00EF4C7E"/>
    <w:rsid w:val="00EF6E38"/>
    <w:rsid w:val="00EF6F2F"/>
    <w:rsid w:val="00F001E0"/>
    <w:rsid w:val="00F01D91"/>
    <w:rsid w:val="00F02099"/>
    <w:rsid w:val="00F020D8"/>
    <w:rsid w:val="00F12F0F"/>
    <w:rsid w:val="00F147B6"/>
    <w:rsid w:val="00F26165"/>
    <w:rsid w:val="00F26F3C"/>
    <w:rsid w:val="00F3265B"/>
    <w:rsid w:val="00F3271A"/>
    <w:rsid w:val="00F35E1B"/>
    <w:rsid w:val="00F36456"/>
    <w:rsid w:val="00F444C3"/>
    <w:rsid w:val="00F504E6"/>
    <w:rsid w:val="00F51B5F"/>
    <w:rsid w:val="00F538EB"/>
    <w:rsid w:val="00F539B8"/>
    <w:rsid w:val="00F54CB5"/>
    <w:rsid w:val="00F563AB"/>
    <w:rsid w:val="00F5651B"/>
    <w:rsid w:val="00F6554A"/>
    <w:rsid w:val="00F67BC0"/>
    <w:rsid w:val="00F7283E"/>
    <w:rsid w:val="00F759DE"/>
    <w:rsid w:val="00F80040"/>
    <w:rsid w:val="00F8313D"/>
    <w:rsid w:val="00F86567"/>
    <w:rsid w:val="00F8729C"/>
    <w:rsid w:val="00F920C1"/>
    <w:rsid w:val="00FA4A84"/>
    <w:rsid w:val="00FC47E2"/>
    <w:rsid w:val="00FD2592"/>
    <w:rsid w:val="00FE5170"/>
    <w:rsid w:val="00FF0B17"/>
    <w:rsid w:val="00FF144C"/>
    <w:rsid w:val="00FF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DB7F"/>
  <w15:chartTrackingRefBased/>
  <w15:docId w15:val="{EC393388-4672-4DE5-AE42-600E097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spdfkit-6fq5ysqkmc2gc1fek9b659qfh8">
    <w:name w:val="pspdfkit-6fq5ysqkmc2gc1fek9b659qfh8"/>
    <w:basedOn w:val="Carpredefinitoparagrafo"/>
    <w:rsid w:val="00F80040"/>
  </w:style>
  <w:style w:type="paragraph" w:styleId="NormaleWeb">
    <w:name w:val="Normal (Web)"/>
    <w:basedOn w:val="Normale"/>
    <w:uiPriority w:val="99"/>
    <w:semiHidden/>
    <w:unhideWhenUsed/>
    <w:rsid w:val="00C323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e"/>
    <w:rsid w:val="00915620"/>
    <w:pPr>
      <w:spacing w:after="0" w:line="240" w:lineRule="auto"/>
    </w:pPr>
    <w:rPr>
      <w:rFonts w:ascii="Calibri" w:hAnsi="Calibri" w:cs="Calibri"/>
    </w:rPr>
  </w:style>
  <w:style w:type="paragraph" w:styleId="Revisione">
    <w:name w:val="Revision"/>
    <w:hidden/>
    <w:uiPriority w:val="99"/>
    <w:semiHidden/>
    <w:rsid w:val="00E22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503">
      <w:bodyDiv w:val="1"/>
      <w:marLeft w:val="0"/>
      <w:marRight w:val="0"/>
      <w:marTop w:val="0"/>
      <w:marBottom w:val="0"/>
      <w:divBdr>
        <w:top w:val="none" w:sz="0" w:space="0" w:color="auto"/>
        <w:left w:val="none" w:sz="0" w:space="0" w:color="auto"/>
        <w:bottom w:val="none" w:sz="0" w:space="0" w:color="auto"/>
        <w:right w:val="none" w:sz="0" w:space="0" w:color="auto"/>
      </w:divBdr>
    </w:div>
    <w:div w:id="1802067121">
      <w:bodyDiv w:val="1"/>
      <w:marLeft w:val="0"/>
      <w:marRight w:val="0"/>
      <w:marTop w:val="0"/>
      <w:marBottom w:val="0"/>
      <w:divBdr>
        <w:top w:val="none" w:sz="0" w:space="0" w:color="auto"/>
        <w:left w:val="none" w:sz="0" w:space="0" w:color="auto"/>
        <w:bottom w:val="none" w:sz="0" w:space="0" w:color="auto"/>
        <w:right w:val="none" w:sz="0" w:space="0" w:color="auto"/>
      </w:divBdr>
    </w:div>
    <w:div w:id="1924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894</Words>
  <Characters>5097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 Rowe Price</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 Saikat</dc:creator>
  <cp:keywords/>
  <dc:description/>
  <cp:lastModifiedBy>Diana Ferla</cp:lastModifiedBy>
  <cp:revision>28</cp:revision>
  <dcterms:created xsi:type="dcterms:W3CDTF">2023-11-21T15:23:00Z</dcterms:created>
  <dcterms:modified xsi:type="dcterms:W3CDTF">2023-12-06T08:23:00Z</dcterms:modified>
</cp:coreProperties>
</file>