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A44" w14:textId="55480688" w:rsidR="002579BA" w:rsidRDefault="00FF3DB0" w:rsidP="002579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Analisi di Immobiliare.it </w:t>
      </w:r>
      <w:r w:rsidR="0015747D">
        <w:rPr>
          <w:rFonts w:ascii="Arial" w:hAnsi="Arial" w:cs="Arial"/>
          <w:b/>
          <w:bCs/>
          <w:sz w:val="24"/>
          <w:szCs w:val="24"/>
        </w:rPr>
        <w:t>sulle ricerche degli italiani nei luoghi di villeggiatura</w:t>
      </w:r>
    </w:p>
    <w:p w14:paraId="45B7002E" w14:textId="149DF4DB" w:rsidR="000A70F9" w:rsidRPr="00C06CBA" w:rsidRDefault="00C06CBA" w:rsidP="002579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6CBA">
        <w:rPr>
          <w:rFonts w:ascii="Arial" w:hAnsi="Arial" w:cs="Arial"/>
          <w:b/>
          <w:bCs/>
          <w:sz w:val="28"/>
          <w:szCs w:val="28"/>
        </w:rPr>
        <w:t>Andare in vacanza al mare e sognare di restarci. L’estate raddoppia le ricerche nelle località turistiche</w:t>
      </w:r>
      <w:r>
        <w:rPr>
          <w:rFonts w:ascii="Arial" w:hAnsi="Arial" w:cs="Arial"/>
          <w:b/>
          <w:bCs/>
          <w:sz w:val="28"/>
          <w:szCs w:val="28"/>
        </w:rPr>
        <w:t xml:space="preserve"> italiane</w:t>
      </w:r>
    </w:p>
    <w:p w14:paraId="193BE01A" w14:textId="18A4E274" w:rsidR="002579BA" w:rsidRDefault="001F32D4" w:rsidP="002579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Marina di </w:t>
      </w:r>
      <w:r w:rsidR="002579BA">
        <w:rPr>
          <w:rFonts w:ascii="Arial" w:hAnsi="Arial" w:cs="Arial"/>
          <w:b/>
          <w:bCs/>
          <w:i/>
          <w:iCs/>
          <w:sz w:val="24"/>
          <w:szCs w:val="24"/>
        </w:rPr>
        <w:t xml:space="preserve">Camerota e Ponza le </w:t>
      </w:r>
      <w:r w:rsidR="004B752E">
        <w:rPr>
          <w:rFonts w:ascii="Arial" w:hAnsi="Arial" w:cs="Arial"/>
          <w:b/>
          <w:bCs/>
          <w:i/>
          <w:iCs/>
          <w:sz w:val="24"/>
          <w:szCs w:val="24"/>
        </w:rPr>
        <w:t>località dove sale di più la “febbre immobiliare”</w:t>
      </w:r>
      <w:r w:rsidR="002579BA">
        <w:rPr>
          <w:rFonts w:ascii="Arial" w:hAnsi="Arial" w:cs="Arial"/>
          <w:b/>
          <w:bCs/>
          <w:i/>
          <w:iCs/>
          <w:sz w:val="24"/>
          <w:szCs w:val="24"/>
        </w:rPr>
        <w:t>, Rimini non conosce più alta e bassa stagione</w:t>
      </w:r>
    </w:p>
    <w:p w14:paraId="29110343" w14:textId="77777777" w:rsidR="002579BA" w:rsidRPr="00847176" w:rsidRDefault="002579BA" w:rsidP="002579BA">
      <w:pPr>
        <w:jc w:val="center"/>
        <w:rPr>
          <w:rFonts w:ascii="Arial" w:hAnsi="Arial" w:cs="Arial"/>
          <w:b/>
          <w:bCs/>
          <w:i/>
          <w:iCs/>
        </w:rPr>
      </w:pPr>
    </w:p>
    <w:p w14:paraId="61F74F15" w14:textId="2F633C61" w:rsidR="002579BA" w:rsidRPr="00C703A5" w:rsidRDefault="002579BA" w:rsidP="00237D83">
      <w:pPr>
        <w:spacing w:line="276" w:lineRule="auto"/>
        <w:jc w:val="both"/>
        <w:rPr>
          <w:rFonts w:ascii="Arial" w:hAnsi="Arial" w:cs="Arial"/>
        </w:rPr>
      </w:pPr>
      <w:r w:rsidRPr="00847176">
        <w:rPr>
          <w:rFonts w:ascii="Arial" w:hAnsi="Arial" w:cs="Arial"/>
          <w:b/>
          <w:bCs/>
        </w:rPr>
        <w:t xml:space="preserve">Milano, </w:t>
      </w:r>
      <w:r>
        <w:rPr>
          <w:rFonts w:ascii="Arial" w:hAnsi="Arial" w:cs="Arial"/>
          <w:b/>
          <w:bCs/>
        </w:rPr>
        <w:t>settembre</w:t>
      </w:r>
      <w:r w:rsidRPr="00847176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 xml:space="preserve"> – </w:t>
      </w:r>
      <w:r w:rsidR="00FE433C">
        <w:rPr>
          <w:rFonts w:ascii="Arial" w:hAnsi="Arial" w:cs="Arial"/>
        </w:rPr>
        <w:t xml:space="preserve">Chi in una località di villeggiatura non ha mai curiosato tra gli annunci immobiliari </w:t>
      </w:r>
      <w:r w:rsidR="00CF4A06">
        <w:rPr>
          <w:rFonts w:ascii="Arial" w:hAnsi="Arial" w:cs="Arial"/>
        </w:rPr>
        <w:t xml:space="preserve">del posto </w:t>
      </w:r>
      <w:r w:rsidR="00FE433C">
        <w:rPr>
          <w:rFonts w:ascii="Arial" w:hAnsi="Arial" w:cs="Arial"/>
        </w:rPr>
        <w:t>per scoprire i prezzi delle case in vendita?</w:t>
      </w:r>
      <w:r w:rsidR="002F5F91">
        <w:rPr>
          <w:rFonts w:ascii="Arial" w:hAnsi="Arial" w:cs="Arial"/>
        </w:rPr>
        <w:t xml:space="preserve"> </w:t>
      </w:r>
      <w:hyperlink r:id="rId7" w:history="1">
        <w:r w:rsidR="00534506" w:rsidRPr="00534506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534506">
        <w:rPr>
          <w:rFonts w:ascii="Arial" w:hAnsi="Arial" w:cs="Arial"/>
        </w:rPr>
        <w:t>,</w:t>
      </w:r>
      <w:r w:rsidR="00534506" w:rsidRPr="00534506">
        <w:rPr>
          <w:rFonts w:ascii="Arial" w:hAnsi="Arial" w:cs="Arial"/>
        </w:rPr>
        <w:t xml:space="preserve"> </w:t>
      </w:r>
      <w:r w:rsidR="00534506">
        <w:rPr>
          <w:rFonts w:ascii="Arial" w:hAnsi="Arial" w:cs="Arial"/>
        </w:rPr>
        <w:t xml:space="preserve">il portale immobiliare leader in Italia, con il supporto di </w:t>
      </w:r>
      <w:r w:rsidR="002F5F91" w:rsidRPr="00534506">
        <w:rPr>
          <w:rFonts w:ascii="Arial" w:hAnsi="Arial" w:cs="Arial"/>
        </w:rPr>
        <w:t>Immobiliare.it Insights</w:t>
      </w:r>
      <w:r w:rsidR="002F5F91">
        <w:rPr>
          <w:rFonts w:ascii="Arial" w:hAnsi="Arial" w:cs="Arial"/>
        </w:rPr>
        <w:t xml:space="preserve">, la proptech </w:t>
      </w:r>
      <w:r w:rsidR="00534506">
        <w:rPr>
          <w:rFonts w:ascii="Arial" w:hAnsi="Arial" w:cs="Arial"/>
        </w:rPr>
        <w:t xml:space="preserve">del gruppo </w:t>
      </w:r>
      <w:r w:rsidR="002F5F91">
        <w:rPr>
          <w:rFonts w:ascii="Arial" w:hAnsi="Arial" w:cs="Arial"/>
        </w:rPr>
        <w:t>specializzata in data intelligence e analisi di mercato</w:t>
      </w:r>
      <w:r w:rsidR="00534506">
        <w:rPr>
          <w:rFonts w:ascii="Arial" w:hAnsi="Arial" w:cs="Arial"/>
        </w:rPr>
        <w:t xml:space="preserve">, </w:t>
      </w:r>
      <w:r w:rsidR="00645466">
        <w:rPr>
          <w:rFonts w:ascii="Arial" w:hAnsi="Arial" w:cs="Arial"/>
        </w:rPr>
        <w:t xml:space="preserve">ha voluto indagare se nelle principali mete turistiche </w:t>
      </w:r>
      <w:r w:rsidR="00237D83">
        <w:rPr>
          <w:rFonts w:ascii="Arial" w:hAnsi="Arial" w:cs="Arial"/>
        </w:rPr>
        <w:t xml:space="preserve">del Paese </w:t>
      </w:r>
      <w:r w:rsidR="00645466">
        <w:rPr>
          <w:rFonts w:ascii="Arial" w:hAnsi="Arial" w:cs="Arial"/>
        </w:rPr>
        <w:t xml:space="preserve">si verifichino dei </w:t>
      </w:r>
      <w:r w:rsidR="00645466" w:rsidRPr="007E4697">
        <w:rPr>
          <w:rFonts w:ascii="Arial" w:hAnsi="Arial" w:cs="Arial"/>
          <w:b/>
          <w:bCs/>
        </w:rPr>
        <w:t>picchi di ricerche</w:t>
      </w:r>
      <w:r w:rsidR="00645466">
        <w:rPr>
          <w:rFonts w:ascii="Arial" w:hAnsi="Arial" w:cs="Arial"/>
        </w:rPr>
        <w:t xml:space="preserve"> durante il periodo estivo, dovuti all’interesse dei visitatori occasionali. E sembra proprio che sia così.</w:t>
      </w:r>
      <w:r w:rsidR="007E4697">
        <w:rPr>
          <w:rFonts w:ascii="Arial" w:hAnsi="Arial" w:cs="Arial"/>
        </w:rPr>
        <w:t xml:space="preserve"> </w:t>
      </w:r>
    </w:p>
    <w:p w14:paraId="67A1B430" w14:textId="1BBA3AFE" w:rsidR="002579BA" w:rsidRDefault="008C4BB5" w:rsidP="00237D8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Dove si sbirciano di più gli annunci immobiliari</w:t>
      </w:r>
    </w:p>
    <w:p w14:paraId="317810D0" w14:textId="350EA0C7" w:rsidR="00E07C90" w:rsidRDefault="00AD1036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a </w:t>
      </w:r>
      <w:r w:rsidR="001F32D4" w:rsidRPr="001F32D4">
        <w:rPr>
          <w:rFonts w:ascii="Arial" w:hAnsi="Arial" w:cs="Arial"/>
          <w:b/>
          <w:bCs/>
        </w:rPr>
        <w:t>Marina di</w:t>
      </w:r>
      <w:r w:rsidR="001F32D4">
        <w:rPr>
          <w:rFonts w:ascii="Arial" w:hAnsi="Arial" w:cs="Arial"/>
        </w:rPr>
        <w:t xml:space="preserve"> </w:t>
      </w:r>
      <w:r w:rsidRPr="00E23F6C">
        <w:rPr>
          <w:rFonts w:ascii="Arial" w:hAnsi="Arial" w:cs="Arial"/>
          <w:b/>
          <w:bCs/>
        </w:rPr>
        <w:t>Camerota</w:t>
      </w:r>
      <w:r w:rsidR="001F32D4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1F32D4">
        <w:rPr>
          <w:rFonts w:ascii="Arial" w:hAnsi="Arial" w:cs="Arial"/>
        </w:rPr>
        <w:t xml:space="preserve">nel </w:t>
      </w:r>
      <w:r w:rsidR="00304E7A">
        <w:rPr>
          <w:rFonts w:ascii="Arial" w:hAnsi="Arial" w:cs="Arial"/>
        </w:rPr>
        <w:t>P</w:t>
      </w:r>
      <w:r w:rsidR="001F32D4">
        <w:rPr>
          <w:rFonts w:ascii="Arial" w:hAnsi="Arial" w:cs="Arial"/>
        </w:rPr>
        <w:t>arco nazionale del Cilento</w:t>
      </w:r>
      <w:r>
        <w:rPr>
          <w:rFonts w:ascii="Arial" w:hAnsi="Arial" w:cs="Arial"/>
        </w:rPr>
        <w:t xml:space="preserve">, e a </w:t>
      </w:r>
      <w:r w:rsidRPr="00E23F6C">
        <w:rPr>
          <w:rFonts w:ascii="Arial" w:hAnsi="Arial" w:cs="Arial"/>
          <w:b/>
          <w:bCs/>
        </w:rPr>
        <w:t>Ponza</w:t>
      </w:r>
      <w:r>
        <w:rPr>
          <w:rFonts w:ascii="Arial" w:hAnsi="Arial" w:cs="Arial"/>
        </w:rPr>
        <w:t xml:space="preserve">, la più grande delle Pontine, </w:t>
      </w:r>
      <w:r w:rsidR="00E23F6C">
        <w:rPr>
          <w:rFonts w:ascii="Arial" w:hAnsi="Arial" w:cs="Arial"/>
        </w:rPr>
        <w:t xml:space="preserve">che nei mesi più caldi l’interesse per le soluzioni </w:t>
      </w:r>
      <w:r w:rsidR="00292D15">
        <w:rPr>
          <w:rFonts w:ascii="Arial" w:hAnsi="Arial" w:cs="Arial"/>
        </w:rPr>
        <w:t>in vendita</w:t>
      </w:r>
      <w:r w:rsidR="00E23F6C">
        <w:rPr>
          <w:rFonts w:ascii="Arial" w:hAnsi="Arial" w:cs="Arial"/>
        </w:rPr>
        <w:t xml:space="preserve"> schizza alle stelle: si tocca infatti il +150% rispetto al restante periodo dell’anno*. La curiosità </w:t>
      </w:r>
      <w:r w:rsidR="00292D15">
        <w:rPr>
          <w:rFonts w:ascii="Arial" w:hAnsi="Arial" w:cs="Arial"/>
        </w:rPr>
        <w:t>nei confronti di quanto propone il mercato si impenna anche a</w:t>
      </w:r>
      <w:r w:rsidR="00E833E3">
        <w:rPr>
          <w:rFonts w:ascii="Arial" w:hAnsi="Arial" w:cs="Arial"/>
        </w:rPr>
        <w:t xml:space="preserve"> </w:t>
      </w:r>
      <w:r w:rsidR="00E833E3" w:rsidRPr="00E833E3">
        <w:rPr>
          <w:rFonts w:ascii="Arial" w:hAnsi="Arial" w:cs="Arial"/>
          <w:b/>
          <w:bCs/>
        </w:rPr>
        <w:t>Peschici</w:t>
      </w:r>
      <w:r w:rsidR="00E833E3">
        <w:rPr>
          <w:rFonts w:ascii="Arial" w:hAnsi="Arial" w:cs="Arial"/>
        </w:rPr>
        <w:t xml:space="preserve">, sul Gargano, </w:t>
      </w:r>
      <w:r w:rsidR="00292D15">
        <w:rPr>
          <w:rFonts w:ascii="Arial" w:hAnsi="Arial" w:cs="Arial"/>
        </w:rPr>
        <w:t>+</w:t>
      </w:r>
      <w:r w:rsidR="00E833E3">
        <w:rPr>
          <w:rFonts w:ascii="Arial" w:hAnsi="Arial" w:cs="Arial"/>
        </w:rPr>
        <w:t xml:space="preserve">125%. </w:t>
      </w:r>
      <w:r w:rsidR="00292D15">
        <w:rPr>
          <w:rFonts w:ascii="Arial" w:hAnsi="Arial" w:cs="Arial"/>
        </w:rPr>
        <w:t xml:space="preserve">I prezzi sono però molto diversi: se a Peschici e </w:t>
      </w:r>
      <w:r w:rsidR="009B6A74">
        <w:rPr>
          <w:rFonts w:ascii="Arial" w:hAnsi="Arial" w:cs="Arial"/>
        </w:rPr>
        <w:t>Camerota</w:t>
      </w:r>
      <w:r w:rsidR="00292D15">
        <w:rPr>
          <w:rFonts w:ascii="Arial" w:hAnsi="Arial" w:cs="Arial"/>
        </w:rPr>
        <w:t xml:space="preserve"> sono sufficienti tra i 1.500 e i 2.000 euro al metro quadro per un </w:t>
      </w:r>
      <w:r w:rsidR="00292D15" w:rsidRPr="00292D15">
        <w:rPr>
          <w:rFonts w:ascii="Arial" w:hAnsi="Arial" w:cs="Arial"/>
          <w:i/>
          <w:iCs/>
        </w:rPr>
        <w:t>buen retiro</w:t>
      </w:r>
      <w:r w:rsidR="00292D15">
        <w:rPr>
          <w:rFonts w:ascii="Arial" w:hAnsi="Arial" w:cs="Arial"/>
        </w:rPr>
        <w:t xml:space="preserve"> a Ponza ne servono oltre il doppio.</w:t>
      </w:r>
    </w:p>
    <w:p w14:paraId="0413578C" w14:textId="46D87C11" w:rsidR="00F13EE7" w:rsidRDefault="00292D15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numero di chi sfoglia gli annunci immobiliari raddoppia in estate anche in</w:t>
      </w:r>
      <w:r w:rsidR="007E4697">
        <w:rPr>
          <w:rFonts w:ascii="Arial" w:hAnsi="Arial" w:cs="Arial"/>
        </w:rPr>
        <w:t xml:space="preserve"> due delle Eolie:</w:t>
      </w:r>
      <w:r w:rsidR="00424C97">
        <w:rPr>
          <w:rFonts w:ascii="Arial" w:hAnsi="Arial" w:cs="Arial"/>
        </w:rPr>
        <w:t xml:space="preserve"> </w:t>
      </w:r>
      <w:r w:rsidR="00424C97">
        <w:rPr>
          <w:rFonts w:ascii="Arial" w:hAnsi="Arial" w:cs="Arial"/>
          <w:b/>
          <w:bCs/>
        </w:rPr>
        <w:t xml:space="preserve">Salina </w:t>
      </w:r>
      <w:r w:rsidR="00424C97">
        <w:rPr>
          <w:rFonts w:ascii="Arial" w:hAnsi="Arial" w:cs="Arial"/>
        </w:rPr>
        <w:t xml:space="preserve">(+124%) e </w:t>
      </w:r>
      <w:r w:rsidR="00424C97">
        <w:rPr>
          <w:rFonts w:ascii="Arial" w:hAnsi="Arial" w:cs="Arial"/>
          <w:b/>
          <w:bCs/>
        </w:rPr>
        <w:t xml:space="preserve">Lipari </w:t>
      </w:r>
      <w:r w:rsidR="00424C97">
        <w:rPr>
          <w:rFonts w:ascii="Arial" w:hAnsi="Arial" w:cs="Arial"/>
        </w:rPr>
        <w:t xml:space="preserve">(+106%). </w:t>
      </w:r>
      <w:r>
        <w:rPr>
          <w:rFonts w:ascii="Arial" w:hAnsi="Arial" w:cs="Arial"/>
        </w:rPr>
        <w:t xml:space="preserve">Tuttavia, a Salina servono quasi 2.000 euro in più per potersi permettere una soluzione vista mare (3.700 euro/mq vs. 2.000). </w:t>
      </w:r>
      <w:r w:rsidR="005E74EC">
        <w:rPr>
          <w:rFonts w:ascii="Arial" w:hAnsi="Arial" w:cs="Arial"/>
        </w:rPr>
        <w:t xml:space="preserve">L’aumento si attesta attorno al +100% anche a </w:t>
      </w:r>
      <w:r w:rsidR="00424C97">
        <w:rPr>
          <w:rFonts w:ascii="Arial" w:hAnsi="Arial" w:cs="Arial"/>
          <w:b/>
          <w:bCs/>
        </w:rPr>
        <w:t>Procida</w:t>
      </w:r>
      <w:r w:rsidR="005E74EC">
        <w:rPr>
          <w:rFonts w:ascii="Arial" w:hAnsi="Arial" w:cs="Arial"/>
          <w:b/>
          <w:bCs/>
        </w:rPr>
        <w:t xml:space="preserve"> </w:t>
      </w:r>
      <w:r w:rsidR="005E74EC" w:rsidRPr="005E74EC">
        <w:rPr>
          <w:rFonts w:ascii="Arial" w:hAnsi="Arial" w:cs="Arial"/>
        </w:rPr>
        <w:t>(parte dell’arcipelago campano)</w:t>
      </w:r>
      <w:r w:rsidR="00424C97">
        <w:rPr>
          <w:rFonts w:ascii="Arial" w:hAnsi="Arial" w:cs="Arial"/>
        </w:rPr>
        <w:t xml:space="preserve">, </w:t>
      </w:r>
      <w:r w:rsidR="005E74EC">
        <w:rPr>
          <w:rFonts w:ascii="Arial" w:hAnsi="Arial" w:cs="Arial"/>
        </w:rPr>
        <w:t>all’</w:t>
      </w:r>
      <w:r w:rsidR="00424C97">
        <w:rPr>
          <w:rFonts w:ascii="Arial" w:hAnsi="Arial" w:cs="Arial"/>
          <w:b/>
          <w:bCs/>
        </w:rPr>
        <w:t>Isola del Giglio</w:t>
      </w:r>
      <w:r w:rsidR="00424C97">
        <w:rPr>
          <w:rFonts w:ascii="Arial" w:hAnsi="Arial" w:cs="Arial"/>
        </w:rPr>
        <w:t>,</w:t>
      </w:r>
      <w:r w:rsidR="005E74EC">
        <w:rPr>
          <w:rFonts w:ascii="Arial" w:hAnsi="Arial" w:cs="Arial"/>
        </w:rPr>
        <w:t xml:space="preserve"> prima meta toscana,</w:t>
      </w:r>
      <w:r w:rsidR="00424C97">
        <w:rPr>
          <w:rFonts w:ascii="Arial" w:hAnsi="Arial" w:cs="Arial"/>
        </w:rPr>
        <w:t xml:space="preserve"> e </w:t>
      </w:r>
      <w:r w:rsidR="008C4BB5">
        <w:rPr>
          <w:rFonts w:ascii="Arial" w:hAnsi="Arial" w:cs="Arial"/>
        </w:rPr>
        <w:t>ad</w:t>
      </w:r>
      <w:r w:rsidR="00424C97">
        <w:rPr>
          <w:rFonts w:ascii="Arial" w:hAnsi="Arial" w:cs="Arial"/>
        </w:rPr>
        <w:t xml:space="preserve"> </w:t>
      </w:r>
      <w:r w:rsidR="00424C97">
        <w:rPr>
          <w:rFonts w:ascii="Arial" w:hAnsi="Arial" w:cs="Arial"/>
          <w:b/>
          <w:bCs/>
        </w:rPr>
        <w:t>Arzachena</w:t>
      </w:r>
      <w:r w:rsidR="00424C97">
        <w:rPr>
          <w:rFonts w:ascii="Arial" w:hAnsi="Arial" w:cs="Arial"/>
        </w:rPr>
        <w:t>,</w:t>
      </w:r>
      <w:r w:rsidR="007E4697">
        <w:rPr>
          <w:rFonts w:ascii="Arial" w:hAnsi="Arial" w:cs="Arial"/>
        </w:rPr>
        <w:t xml:space="preserve"> </w:t>
      </w:r>
      <w:r w:rsidR="00424C97">
        <w:rPr>
          <w:rFonts w:ascii="Arial" w:hAnsi="Arial" w:cs="Arial"/>
        </w:rPr>
        <w:t xml:space="preserve">che comprende anche la rinomata meta di Porto Cervo. </w:t>
      </w:r>
      <w:r w:rsidR="008C4BB5">
        <w:rPr>
          <w:rFonts w:ascii="Arial" w:hAnsi="Arial" w:cs="Arial"/>
        </w:rPr>
        <w:t>Appena sotto a questa soglia</w:t>
      </w:r>
      <w:r w:rsidR="00424C97">
        <w:rPr>
          <w:rFonts w:ascii="Arial" w:hAnsi="Arial" w:cs="Arial"/>
        </w:rPr>
        <w:t xml:space="preserve"> </w:t>
      </w:r>
      <w:r w:rsidR="00424C97">
        <w:rPr>
          <w:rFonts w:ascii="Arial" w:hAnsi="Arial" w:cs="Arial"/>
          <w:b/>
          <w:bCs/>
        </w:rPr>
        <w:t xml:space="preserve">Lampedusa e Linosa </w:t>
      </w:r>
      <w:r w:rsidR="00424C97">
        <w:rPr>
          <w:rFonts w:ascii="Arial" w:hAnsi="Arial" w:cs="Arial"/>
        </w:rPr>
        <w:t xml:space="preserve">(+98%) e di nuovo una meta sarda: </w:t>
      </w:r>
      <w:r w:rsidR="00424C97">
        <w:rPr>
          <w:rFonts w:ascii="Arial" w:hAnsi="Arial" w:cs="Arial"/>
          <w:b/>
          <w:bCs/>
        </w:rPr>
        <w:t xml:space="preserve">San Teodoro </w:t>
      </w:r>
      <w:r w:rsidR="00424C97">
        <w:rPr>
          <w:rFonts w:ascii="Arial" w:hAnsi="Arial" w:cs="Arial"/>
        </w:rPr>
        <w:t>(+92%).</w:t>
      </w:r>
    </w:p>
    <w:p w14:paraId="09CC61BC" w14:textId="4628C0D9" w:rsidR="00413542" w:rsidRDefault="00413542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top-10 che vede come regione più rappresentata la </w:t>
      </w:r>
      <w:r w:rsidRPr="00413542">
        <w:rPr>
          <w:rFonts w:ascii="Arial" w:hAnsi="Arial" w:cs="Arial"/>
          <w:b/>
          <w:bCs/>
        </w:rPr>
        <w:t xml:space="preserve">Sicilia con </w:t>
      </w:r>
      <w:r w:rsidR="008C4BB5">
        <w:rPr>
          <w:rFonts w:ascii="Arial" w:hAnsi="Arial" w:cs="Arial"/>
          <w:b/>
          <w:bCs/>
        </w:rPr>
        <w:t xml:space="preserve">ben </w:t>
      </w:r>
      <w:r w:rsidRPr="00413542">
        <w:rPr>
          <w:rFonts w:ascii="Arial" w:hAnsi="Arial" w:cs="Arial"/>
          <w:b/>
          <w:bCs/>
        </w:rPr>
        <w:t>tre località</w:t>
      </w:r>
      <w:r>
        <w:rPr>
          <w:rFonts w:ascii="Arial" w:hAnsi="Arial" w:cs="Arial"/>
        </w:rPr>
        <w:t xml:space="preserve">, e a seguire </w:t>
      </w:r>
      <w:r w:rsidRPr="00413542">
        <w:rPr>
          <w:rFonts w:ascii="Arial" w:hAnsi="Arial" w:cs="Arial"/>
          <w:b/>
          <w:bCs/>
        </w:rPr>
        <w:t>Campania e Sardegna</w:t>
      </w:r>
      <w:r>
        <w:rPr>
          <w:rFonts w:ascii="Arial" w:hAnsi="Arial" w:cs="Arial"/>
        </w:rPr>
        <w:t xml:space="preserve"> con due mete </w:t>
      </w:r>
      <w:r w:rsidR="00237D83">
        <w:rPr>
          <w:rFonts w:ascii="Arial" w:hAnsi="Arial" w:cs="Arial"/>
        </w:rPr>
        <w:t xml:space="preserve">ciascuna </w:t>
      </w:r>
      <w:r>
        <w:rPr>
          <w:rFonts w:ascii="Arial" w:hAnsi="Arial" w:cs="Arial"/>
        </w:rPr>
        <w:t xml:space="preserve">all’interno </w:t>
      </w:r>
      <w:r w:rsidR="00735C57">
        <w:rPr>
          <w:rFonts w:ascii="Arial" w:hAnsi="Arial" w:cs="Arial"/>
        </w:rPr>
        <w:t>della</w:t>
      </w:r>
      <w:r>
        <w:rPr>
          <w:rFonts w:ascii="Arial" w:hAnsi="Arial" w:cs="Arial"/>
        </w:rPr>
        <w:t xml:space="preserve"> classifica. </w:t>
      </w:r>
    </w:p>
    <w:p w14:paraId="1CB03BB4" w14:textId="6F3EEF75" w:rsidR="00237D83" w:rsidRDefault="00237D83" w:rsidP="00237D83">
      <w:pPr>
        <w:spacing w:line="276" w:lineRule="auto"/>
        <w:jc w:val="both"/>
        <w:rPr>
          <w:rFonts w:ascii="Arial" w:hAnsi="Arial" w:cs="Arial"/>
        </w:rPr>
      </w:pPr>
      <w:r w:rsidRPr="000D54D1">
        <w:rPr>
          <w:rFonts w:ascii="Arial" w:hAnsi="Arial" w:cs="Arial"/>
          <w:i/>
          <w:iCs/>
        </w:rPr>
        <w:t>«</w:t>
      </w:r>
      <w:r w:rsidR="000A70F9" w:rsidRPr="000D54D1">
        <w:rPr>
          <w:rFonts w:ascii="Arial" w:hAnsi="Arial" w:cs="Arial"/>
          <w:i/>
          <w:iCs/>
        </w:rPr>
        <w:t xml:space="preserve">Esiste da alcuni anni una simpatica definizione per quanti scorrono gli annunci immobiliari per puro piacere personale, senza avere una reale propensione all’acquisto: fare property porn </w:t>
      </w:r>
      <w:r w:rsidRPr="000D54D1">
        <w:rPr>
          <w:rFonts w:ascii="Arial" w:hAnsi="Arial" w:cs="Arial"/>
        </w:rPr>
        <w:t xml:space="preserve">– commenta </w:t>
      </w:r>
      <w:r w:rsidRPr="000D54D1">
        <w:rPr>
          <w:rFonts w:ascii="Arial" w:hAnsi="Arial" w:cs="Arial"/>
          <w:b/>
          <w:bCs/>
        </w:rPr>
        <w:t>Carlo Giordano, Board Member di Immobiliare.it</w:t>
      </w:r>
      <w:r w:rsidRPr="000D54D1">
        <w:rPr>
          <w:rFonts w:ascii="Arial" w:hAnsi="Arial" w:cs="Arial"/>
        </w:rPr>
        <w:t xml:space="preserve"> </w:t>
      </w:r>
      <w:r w:rsidR="00FE4DA4" w:rsidRPr="000D54D1">
        <w:rPr>
          <w:rFonts w:ascii="Arial" w:hAnsi="Arial" w:cs="Arial"/>
        </w:rPr>
        <w:t>–</w:t>
      </w:r>
      <w:r w:rsidRPr="000D54D1">
        <w:rPr>
          <w:rFonts w:ascii="Arial" w:hAnsi="Arial" w:cs="Arial"/>
        </w:rPr>
        <w:t xml:space="preserve"> </w:t>
      </w:r>
      <w:r w:rsidR="000A70F9" w:rsidRPr="000D54D1">
        <w:rPr>
          <w:rFonts w:ascii="Arial" w:hAnsi="Arial" w:cs="Arial"/>
          <w:i/>
          <w:iCs/>
        </w:rPr>
        <w:t>Ed è quello che succede quando ci troviamo in vacanza in un bel posto di villeggiatura e</w:t>
      </w:r>
      <w:r w:rsidR="00F50947" w:rsidRPr="000D54D1">
        <w:rPr>
          <w:rFonts w:ascii="Arial" w:hAnsi="Arial" w:cs="Arial"/>
          <w:i/>
          <w:iCs/>
        </w:rPr>
        <w:t>,</w:t>
      </w:r>
      <w:r w:rsidR="000A70F9" w:rsidRPr="000D54D1">
        <w:rPr>
          <w:rFonts w:ascii="Arial" w:hAnsi="Arial" w:cs="Arial"/>
          <w:i/>
          <w:iCs/>
        </w:rPr>
        <w:t xml:space="preserve"> incuriositi</w:t>
      </w:r>
      <w:r w:rsidR="00F50947" w:rsidRPr="000D54D1">
        <w:rPr>
          <w:rFonts w:ascii="Arial" w:hAnsi="Arial" w:cs="Arial"/>
          <w:i/>
          <w:iCs/>
        </w:rPr>
        <w:t>,</w:t>
      </w:r>
      <w:r w:rsidR="000A70F9" w:rsidRPr="000D54D1">
        <w:rPr>
          <w:rFonts w:ascii="Arial" w:hAnsi="Arial" w:cs="Arial"/>
          <w:i/>
          <w:iCs/>
        </w:rPr>
        <w:t xml:space="preserve"> ci vogliamo fare un’idea </w:t>
      </w:r>
      <w:r w:rsidR="00F50947" w:rsidRPr="000D54D1">
        <w:rPr>
          <w:rFonts w:ascii="Arial" w:hAnsi="Arial" w:cs="Arial"/>
          <w:i/>
          <w:iCs/>
        </w:rPr>
        <w:t>dei prezzi medi degli immobili, scorrendo senza finalità gli annunci del posto. Si attiva così il cosiddetto “meccanismo della ricompensa”,</w:t>
      </w:r>
      <w:r w:rsidR="00534506" w:rsidRPr="000D54D1">
        <w:rPr>
          <w:rFonts w:ascii="Arial" w:hAnsi="Arial" w:cs="Arial"/>
          <w:i/>
          <w:iCs/>
        </w:rPr>
        <w:t xml:space="preserve"> </w:t>
      </w:r>
      <w:r w:rsidR="00F50947" w:rsidRPr="000D54D1">
        <w:rPr>
          <w:rFonts w:ascii="Arial" w:hAnsi="Arial" w:cs="Arial"/>
          <w:i/>
          <w:iCs/>
        </w:rPr>
        <w:t>ovvero continuiamo a passare in rassegna quanto offre il mercato locale nella speranza di imbatterci nell’occasione giusta</w:t>
      </w:r>
      <w:r w:rsidR="00534506" w:rsidRPr="000D54D1">
        <w:rPr>
          <w:rFonts w:ascii="Arial" w:hAnsi="Arial" w:cs="Arial"/>
          <w:i/>
          <w:iCs/>
        </w:rPr>
        <w:t xml:space="preserve"> e trasformare quello che inizia come un sogno in un vero acquisto</w:t>
      </w:r>
      <w:r w:rsidR="00FE4DA4" w:rsidRPr="000D54D1">
        <w:rPr>
          <w:rFonts w:ascii="Arial" w:hAnsi="Arial" w:cs="Arial"/>
          <w:i/>
          <w:iCs/>
        </w:rPr>
        <w:t>»</w:t>
      </w:r>
      <w:r w:rsidR="00FE4DA4" w:rsidRPr="000D54D1">
        <w:rPr>
          <w:rFonts w:ascii="Arial" w:hAnsi="Arial" w:cs="Arial"/>
        </w:rPr>
        <w:t>.</w:t>
      </w:r>
    </w:p>
    <w:p w14:paraId="5E6C1A7D" w14:textId="15DCD20D" w:rsidR="007C0660" w:rsidRDefault="008C4BB5" w:rsidP="00237D8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Quanto costa il sogno di una casa al mare</w:t>
      </w:r>
    </w:p>
    <w:p w14:paraId="74879065" w14:textId="22BC4E1C" w:rsidR="00783B08" w:rsidRPr="00783B08" w:rsidRDefault="00783B08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 tutte le mete prese in esame, </w:t>
      </w:r>
      <w:r>
        <w:rPr>
          <w:rFonts w:ascii="Arial" w:hAnsi="Arial" w:cs="Arial"/>
          <w:b/>
          <w:bCs/>
        </w:rPr>
        <w:t xml:space="preserve">Positano </w:t>
      </w:r>
      <w:r>
        <w:rPr>
          <w:rFonts w:ascii="Arial" w:hAnsi="Arial" w:cs="Arial"/>
        </w:rPr>
        <w:t xml:space="preserve">(che vede comunque le ricerche crescere del 65% nel periodo estivo) è quella che costa di più con quasi </w:t>
      </w:r>
      <w:r>
        <w:rPr>
          <w:rFonts w:ascii="Arial" w:hAnsi="Arial" w:cs="Arial"/>
          <w:b/>
          <w:bCs/>
        </w:rPr>
        <w:t xml:space="preserve">12.200 euro al metro quadro di media. </w:t>
      </w:r>
      <w:r>
        <w:rPr>
          <w:rFonts w:ascii="Arial" w:hAnsi="Arial" w:cs="Arial"/>
        </w:rPr>
        <w:t xml:space="preserve">Seguono </w:t>
      </w:r>
      <w:r>
        <w:rPr>
          <w:rFonts w:ascii="Arial" w:hAnsi="Arial" w:cs="Arial"/>
          <w:b/>
          <w:bCs/>
        </w:rPr>
        <w:t xml:space="preserve">Portofino e Capri, oltre gli 8.000 euro al metro quadro, </w:t>
      </w:r>
      <w:r>
        <w:rPr>
          <w:rFonts w:ascii="Arial" w:hAnsi="Arial" w:cs="Arial"/>
        </w:rPr>
        <w:t xml:space="preserve">mentre </w:t>
      </w:r>
      <w:r>
        <w:rPr>
          <w:rFonts w:ascii="Arial" w:hAnsi="Arial" w:cs="Arial"/>
          <w:b/>
          <w:bCs/>
        </w:rPr>
        <w:t xml:space="preserve">Amalfi, Sorrento, Praiano e Forte dei Marmi – Pietrasanta </w:t>
      </w:r>
      <w:r>
        <w:rPr>
          <w:rFonts w:ascii="Arial" w:hAnsi="Arial" w:cs="Arial"/>
        </w:rPr>
        <w:t xml:space="preserve">si collocano sopra i 6.000 </w:t>
      </w:r>
      <w:r w:rsidR="008A76B0">
        <w:rPr>
          <w:rFonts w:ascii="Arial" w:hAnsi="Arial" w:cs="Arial"/>
        </w:rPr>
        <w:t>euro/mq</w:t>
      </w:r>
      <w:r>
        <w:rPr>
          <w:rFonts w:ascii="Arial" w:hAnsi="Arial" w:cs="Arial"/>
        </w:rPr>
        <w:t xml:space="preserve"> di prezzo medio. </w:t>
      </w:r>
    </w:p>
    <w:p w14:paraId="30CD8FD3" w14:textId="33D6CE11" w:rsidR="00783B08" w:rsidRDefault="000A70F9" w:rsidP="00237D8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Dove a</w:t>
      </w:r>
      <w:r w:rsidR="008C4BB5">
        <w:rPr>
          <w:rFonts w:ascii="Arial" w:hAnsi="Arial" w:cs="Arial"/>
          <w:b/>
          <w:bCs/>
        </w:rPr>
        <w:t>lta e bassa stagione non esistono più</w:t>
      </w:r>
    </w:p>
    <w:p w14:paraId="085766BA" w14:textId="2E9EEC93" w:rsidR="002579BA" w:rsidRDefault="00783B08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Diverse mete turistiche molto richieste non vedono particolari incrementi di ricerche </w:t>
      </w:r>
      <w:r w:rsidR="00216250">
        <w:rPr>
          <w:rFonts w:ascii="Arial" w:hAnsi="Arial" w:cs="Arial"/>
        </w:rPr>
        <w:t>legati alla stagionalità</w:t>
      </w:r>
      <w:r>
        <w:rPr>
          <w:rFonts w:ascii="Arial" w:hAnsi="Arial" w:cs="Arial"/>
        </w:rPr>
        <w:t xml:space="preserve">. Stiamo parlando di </w:t>
      </w:r>
      <w:r w:rsidRPr="007E4697">
        <w:rPr>
          <w:rFonts w:ascii="Arial" w:hAnsi="Arial" w:cs="Arial"/>
          <w:b/>
          <w:bCs/>
        </w:rPr>
        <w:t>Riccione</w:t>
      </w:r>
      <w:r>
        <w:rPr>
          <w:rFonts w:ascii="Arial" w:hAnsi="Arial" w:cs="Arial"/>
        </w:rPr>
        <w:t xml:space="preserve">, dove in estate le ricerche crescono “solo” dell’8%, ma anche di </w:t>
      </w:r>
      <w:r w:rsidRPr="007E4697">
        <w:rPr>
          <w:rFonts w:ascii="Arial" w:hAnsi="Arial" w:cs="Arial"/>
          <w:b/>
          <w:bCs/>
        </w:rPr>
        <w:t>Sanremo</w:t>
      </w:r>
      <w:r>
        <w:rPr>
          <w:rFonts w:ascii="Arial" w:hAnsi="Arial" w:cs="Arial"/>
        </w:rPr>
        <w:t xml:space="preserve"> (+6%) e di </w:t>
      </w:r>
      <w:r w:rsidRPr="007E4697">
        <w:rPr>
          <w:rFonts w:ascii="Arial" w:hAnsi="Arial" w:cs="Arial"/>
          <w:b/>
          <w:bCs/>
        </w:rPr>
        <w:t>Rimini</w:t>
      </w:r>
      <w:r>
        <w:rPr>
          <w:rFonts w:ascii="Arial" w:hAnsi="Arial" w:cs="Arial"/>
        </w:rPr>
        <w:t>, dove non si osserva alcuna differenza sostanziale tra le ricerche di immobili durante l’anno e in estate.</w:t>
      </w:r>
      <w:r w:rsidR="008C4BB5">
        <w:rPr>
          <w:rFonts w:ascii="Arial" w:hAnsi="Arial" w:cs="Arial"/>
        </w:rPr>
        <w:t xml:space="preserve"> Si tratta di città che, pur godendo ancora di importanti flussi turistici legati alla presenza del mare, hanno ormai superato la loro connotazione “vacanziera”, essendo vissute intensamente durante tutto l’arco dell’anno.</w:t>
      </w:r>
    </w:p>
    <w:p w14:paraId="78DAC5E6" w14:textId="54255B44" w:rsidR="00752964" w:rsidRDefault="00752964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seguito la tabella con i prezzi medi al metro quadro e la variazione nelle ricerche delle località a vocazione turistica prese in esame dallo studio.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760"/>
        <w:gridCol w:w="2760"/>
      </w:tblGrid>
      <w:tr w:rsidR="00556DC6" w:rsidRPr="00556DC6" w14:paraId="2756C971" w14:textId="77777777" w:rsidTr="00556DC6">
        <w:trPr>
          <w:trHeight w:val="285"/>
        </w:trPr>
        <w:tc>
          <w:tcPr>
            <w:tcW w:w="4100" w:type="dxa"/>
            <w:vMerge w:val="restart"/>
            <w:tcBorders>
              <w:top w:val="single" w:sz="8" w:space="0" w:color="1B5066"/>
              <w:left w:val="single" w:sz="8" w:space="0" w:color="1B5066"/>
              <w:bottom w:val="single" w:sz="8" w:space="0" w:color="1B5066"/>
              <w:right w:val="single" w:sz="8" w:space="0" w:color="1B5066"/>
            </w:tcBorders>
            <w:shd w:val="clear" w:color="1B5066" w:fill="1B5066"/>
            <w:vAlign w:val="center"/>
            <w:hideMark/>
          </w:tcPr>
          <w:p w14:paraId="77DD065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760" w:type="dxa"/>
            <w:tcBorders>
              <w:top w:val="single" w:sz="8" w:space="0" w:color="1B5066"/>
              <w:left w:val="nil"/>
              <w:bottom w:val="nil"/>
              <w:right w:val="single" w:sz="8" w:space="0" w:color="1B5066"/>
            </w:tcBorders>
            <w:shd w:val="clear" w:color="1E6682" w:fill="1E6682"/>
            <w:vAlign w:val="center"/>
            <w:hideMark/>
          </w:tcPr>
          <w:p w14:paraId="7549C7B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Prezzo</w:t>
            </w:r>
          </w:p>
        </w:tc>
        <w:tc>
          <w:tcPr>
            <w:tcW w:w="2760" w:type="dxa"/>
            <w:tcBorders>
              <w:top w:val="single" w:sz="8" w:space="0" w:color="1B5066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1B5066" w:fill="1B5066"/>
            <w:vAlign w:val="center"/>
            <w:hideMark/>
          </w:tcPr>
          <w:p w14:paraId="2A80B970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Ricerche</w:t>
            </w:r>
          </w:p>
        </w:tc>
      </w:tr>
      <w:tr w:rsidR="00556DC6" w:rsidRPr="00556DC6" w14:paraId="2D336B8B" w14:textId="77777777" w:rsidTr="00556DC6">
        <w:trPr>
          <w:trHeight w:val="540"/>
        </w:trPr>
        <w:tc>
          <w:tcPr>
            <w:tcW w:w="4100" w:type="dxa"/>
            <w:vMerge/>
            <w:tcBorders>
              <w:top w:val="single" w:sz="8" w:space="0" w:color="1B5066"/>
              <w:left w:val="single" w:sz="8" w:space="0" w:color="1B5066"/>
              <w:bottom w:val="single" w:sz="8" w:space="0" w:color="1B5066"/>
              <w:right w:val="single" w:sz="8" w:space="0" w:color="1B5066"/>
            </w:tcBorders>
            <w:vAlign w:val="center"/>
            <w:hideMark/>
          </w:tcPr>
          <w:p w14:paraId="477AC007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1B5066"/>
              <w:left w:val="nil"/>
              <w:bottom w:val="single" w:sz="8" w:space="0" w:color="1B5066"/>
              <w:right w:val="single" w:sz="8" w:space="0" w:color="1B5066"/>
            </w:tcBorders>
            <w:shd w:val="clear" w:color="DFE8EF" w:fill="DFE8EF"/>
            <w:vAlign w:val="center"/>
            <w:hideMark/>
          </w:tcPr>
          <w:p w14:paraId="4B25AD6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Prezzo mq/€</w:t>
            </w: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br/>
              <w:t xml:space="preserve"> agosto 2023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8" w:space="0" w:color="1B5066"/>
              <w:right w:val="single" w:sz="8" w:space="0" w:color="1B5066"/>
            </w:tcBorders>
            <w:shd w:val="clear" w:color="DFE8EF" w:fill="DFE8EF"/>
            <w:vAlign w:val="center"/>
            <w:hideMark/>
          </w:tcPr>
          <w:p w14:paraId="7F7B031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Periodo estivo vs</w:t>
            </w: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br/>
              <w:t>Media anno</w:t>
            </w:r>
          </w:p>
        </w:tc>
      </w:tr>
      <w:tr w:rsidR="00556DC6" w:rsidRPr="00556DC6" w14:paraId="5784C689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28B17EA7" w14:textId="731FF996" w:rsidR="00556DC6" w:rsidRPr="00556DC6" w:rsidRDefault="001F32D4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 xml:space="preserve">Marina di </w:t>
            </w:r>
            <w:r w:rsidR="00556DC6"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Camerota</w:t>
            </w:r>
          </w:p>
        </w:tc>
        <w:tc>
          <w:tcPr>
            <w:tcW w:w="2760" w:type="dxa"/>
            <w:tcBorders>
              <w:top w:val="single" w:sz="4" w:space="0" w:color="1B5066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C54874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1.910 €</w:t>
            </w:r>
          </w:p>
        </w:tc>
        <w:tc>
          <w:tcPr>
            <w:tcW w:w="2760" w:type="dxa"/>
            <w:tcBorders>
              <w:top w:val="single" w:sz="4" w:space="0" w:color="1B5066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1D5F0D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150%</w:t>
            </w:r>
          </w:p>
        </w:tc>
      </w:tr>
      <w:tr w:rsidR="00556DC6" w:rsidRPr="00556DC6" w14:paraId="741DEA88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1BC16797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Ponza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5AFBBF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4.467 €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1CA975F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148%</w:t>
            </w:r>
          </w:p>
        </w:tc>
      </w:tr>
      <w:tr w:rsidR="00556DC6" w:rsidRPr="00556DC6" w14:paraId="543B6A7C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3ABB4723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Peschici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DA4DA90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1.474 €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8619FC6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125%</w:t>
            </w:r>
          </w:p>
        </w:tc>
      </w:tr>
      <w:tr w:rsidR="00556DC6" w:rsidRPr="00556DC6" w14:paraId="5C28DEC7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671051F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Salina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8DE233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3.702 €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CF9F49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124%</w:t>
            </w:r>
          </w:p>
        </w:tc>
      </w:tr>
      <w:tr w:rsidR="00556DC6" w:rsidRPr="00556DC6" w14:paraId="32925E57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26F772A7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Lipari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DF63BE4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2.062 €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A64A81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106%</w:t>
            </w:r>
          </w:p>
        </w:tc>
      </w:tr>
      <w:tr w:rsidR="00556DC6" w:rsidRPr="00556DC6" w14:paraId="28C66831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343A0879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Procida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163CDC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3.585 €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CD9C0C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102%</w:t>
            </w:r>
          </w:p>
        </w:tc>
      </w:tr>
      <w:tr w:rsidR="00556DC6" w:rsidRPr="00556DC6" w14:paraId="36D159C2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E97F2F8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Isola del Giglio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65105C4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4.720 €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D56D25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102%</w:t>
            </w:r>
          </w:p>
        </w:tc>
      </w:tr>
      <w:tr w:rsidR="00556DC6" w:rsidRPr="00556DC6" w14:paraId="034A75E9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186D39D3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Arzachena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1501F0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5.263 €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9C34567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101%</w:t>
            </w:r>
          </w:p>
        </w:tc>
      </w:tr>
      <w:tr w:rsidR="00556DC6" w:rsidRPr="00556DC6" w14:paraId="64E17409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A9A17ED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Lampedusa e Linosa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494C659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2.244 €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A8A40B7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98%</w:t>
            </w:r>
          </w:p>
        </w:tc>
      </w:tr>
      <w:tr w:rsidR="00556DC6" w:rsidRPr="00556DC6" w14:paraId="0B70AF9D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382D6904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San Teodoro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1229FEF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3.239 €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85E79B9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92%</w:t>
            </w:r>
          </w:p>
        </w:tc>
      </w:tr>
      <w:tr w:rsidR="00556DC6" w:rsidRPr="00556DC6" w14:paraId="112F4733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7D0DC1BE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Ventotene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3CEA092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3.826 €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8F2AEF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86%</w:t>
            </w:r>
          </w:p>
        </w:tc>
      </w:tr>
      <w:tr w:rsidR="00556DC6" w:rsidRPr="00556DC6" w14:paraId="5AC6AC21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DCB209B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La Maddalena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4AEB32C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2.530 €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D1C892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86%</w:t>
            </w:r>
          </w:p>
        </w:tc>
      </w:tr>
      <w:tr w:rsidR="00556DC6" w:rsidRPr="00556DC6" w14:paraId="02F1BDF4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12C65DB6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Palau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F05BBEC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2.803 €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A073E66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85%</w:t>
            </w:r>
          </w:p>
        </w:tc>
      </w:tr>
      <w:tr w:rsidR="00556DC6" w:rsidRPr="00556DC6" w14:paraId="13B233A5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F10E687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Isola d'Elba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66874F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3.261 €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05B900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82%</w:t>
            </w:r>
          </w:p>
        </w:tc>
      </w:tr>
      <w:tr w:rsidR="00556DC6" w:rsidRPr="00556DC6" w14:paraId="31BEADEA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3673EA27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Carloforte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7EAB04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1.813 €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178C8D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81%</w:t>
            </w:r>
          </w:p>
        </w:tc>
      </w:tr>
      <w:tr w:rsidR="00556DC6" w:rsidRPr="00556DC6" w14:paraId="46FF94AA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7B22A57F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Ischia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B3401E1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3.570 €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539019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79%</w:t>
            </w:r>
          </w:p>
        </w:tc>
      </w:tr>
      <w:tr w:rsidR="00556DC6" w:rsidRPr="00556DC6" w14:paraId="6AF4BDA0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5F7132D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Porto Cesareo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2A781E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1.563 €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F2EA17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78%</w:t>
            </w:r>
          </w:p>
        </w:tc>
      </w:tr>
      <w:tr w:rsidR="00556DC6" w:rsidRPr="00556DC6" w14:paraId="0B2B11A3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4A1B95D7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Vieste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F50368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1.877 €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3493960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77%</w:t>
            </w:r>
          </w:p>
        </w:tc>
      </w:tr>
      <w:tr w:rsidR="00556DC6" w:rsidRPr="00556DC6" w14:paraId="47AAA94B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E505410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San Vito Lo Capo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AB5A5F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2.717 €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5AD628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77%</w:t>
            </w:r>
          </w:p>
        </w:tc>
      </w:tr>
      <w:tr w:rsidR="00556DC6" w:rsidRPr="00556DC6" w14:paraId="6C377642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792D7590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Tropea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00414EA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2.382 €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7A33BB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75%</w:t>
            </w:r>
          </w:p>
        </w:tc>
      </w:tr>
      <w:tr w:rsidR="00556DC6" w:rsidRPr="00556DC6" w14:paraId="194F0DB3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26C0AF73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Otranto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91790CA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2.121 €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81A703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72%</w:t>
            </w:r>
          </w:p>
        </w:tc>
      </w:tr>
      <w:tr w:rsidR="00556DC6" w:rsidRPr="00556DC6" w14:paraId="26722E8F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8CD5636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Capri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8710259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8.203 €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273FB0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67%</w:t>
            </w:r>
          </w:p>
        </w:tc>
      </w:tr>
      <w:tr w:rsidR="00556DC6" w:rsidRPr="00556DC6" w14:paraId="2A6CDDB1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570F6D3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Santa Margherita Ligure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9B9AC1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5.199 €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30B7AA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67%</w:t>
            </w:r>
          </w:p>
        </w:tc>
      </w:tr>
      <w:tr w:rsidR="00556DC6" w:rsidRPr="00556DC6" w14:paraId="24D48321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2D81894C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D7CF2B6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12.195 €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D78229C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65%</w:t>
            </w:r>
          </w:p>
        </w:tc>
      </w:tr>
      <w:tr w:rsidR="00556DC6" w:rsidRPr="00556DC6" w14:paraId="51BF150A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7B75545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Portopalo di Capo Passero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F4EE819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1.821 €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12ACB1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59%</w:t>
            </w:r>
          </w:p>
        </w:tc>
      </w:tr>
      <w:tr w:rsidR="00556DC6" w:rsidRPr="00556DC6" w14:paraId="5F6571B7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2A9703FD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Agropoli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E80D53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1.988 €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F8012F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55%</w:t>
            </w:r>
          </w:p>
        </w:tc>
      </w:tr>
      <w:tr w:rsidR="00556DC6" w:rsidRPr="00556DC6" w14:paraId="49E4D991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1C85258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Rodi Garganico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D0BE42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1.055 €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C3C21A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52%</w:t>
            </w:r>
          </w:p>
        </w:tc>
      </w:tr>
      <w:tr w:rsidR="00556DC6" w:rsidRPr="00556DC6" w14:paraId="5C4C6914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6B7B62D8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Amalfi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78BEA22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6.806 €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DA20952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51%</w:t>
            </w:r>
          </w:p>
        </w:tc>
      </w:tr>
      <w:tr w:rsidR="00556DC6" w:rsidRPr="00556DC6" w14:paraId="5D366D3A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7A67F962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Cinque Terre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1D70BA2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4.949 €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1E5F00A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50%</w:t>
            </w:r>
          </w:p>
        </w:tc>
      </w:tr>
      <w:tr w:rsidR="00556DC6" w:rsidRPr="00556DC6" w14:paraId="20713DA0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C092064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Villasimius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52C596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2.980 €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16E52F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49%</w:t>
            </w:r>
          </w:p>
        </w:tc>
      </w:tr>
      <w:tr w:rsidR="00556DC6" w:rsidRPr="00556DC6" w14:paraId="26644749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3355D494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Argentario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EC9071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3.776 €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12292BF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48%</w:t>
            </w:r>
          </w:p>
        </w:tc>
      </w:tr>
      <w:tr w:rsidR="00556DC6" w:rsidRPr="00556DC6" w14:paraId="460B8DE0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700F8134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Gaeta - Formia - Sperlonga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DDC8A6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2.856 €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0B5B5C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47%</w:t>
            </w:r>
          </w:p>
        </w:tc>
      </w:tr>
      <w:tr w:rsidR="00556DC6" w:rsidRPr="00556DC6" w14:paraId="1E60B9B6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444EAA82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lastRenderedPageBreak/>
              <w:t>Maiori e Minori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8F018C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5.414 €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DF3D5DF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46%</w:t>
            </w:r>
          </w:p>
        </w:tc>
      </w:tr>
      <w:tr w:rsidR="00556DC6" w:rsidRPr="00556DC6" w14:paraId="44BB1C33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7FC12B98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Numana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0B25411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3.929 €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44FCEB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42%</w:t>
            </w:r>
          </w:p>
        </w:tc>
      </w:tr>
      <w:tr w:rsidR="00556DC6" w:rsidRPr="00556DC6" w14:paraId="6C8368D6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935ADD0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Terracina - San Felice Circeo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B59E3D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2.637 €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287BDA6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42%</w:t>
            </w:r>
          </w:p>
        </w:tc>
      </w:tr>
      <w:tr w:rsidR="00556DC6" w:rsidRPr="00556DC6" w14:paraId="57E8E6E1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859CA4A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Cefalù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7B225C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2.819 €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85FA27A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41%</w:t>
            </w:r>
          </w:p>
        </w:tc>
      </w:tr>
      <w:tr w:rsidR="00556DC6" w:rsidRPr="00556DC6" w14:paraId="3A2FBE60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1CEE274C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Taormina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766551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2.909 €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BDC36D1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40%</w:t>
            </w:r>
          </w:p>
        </w:tc>
      </w:tr>
      <w:tr w:rsidR="00556DC6" w:rsidRPr="00556DC6" w14:paraId="668603A0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4A74988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Gallipoli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0BCCC6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1.917 €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5F9AD9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40%</w:t>
            </w:r>
          </w:p>
        </w:tc>
      </w:tr>
      <w:tr w:rsidR="00556DC6" w:rsidRPr="00556DC6" w14:paraId="4251976C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3E45F5AE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Forte dei Marmi - Pietrasanta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CEEE4E9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6.300 €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3D08A2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39%</w:t>
            </w:r>
          </w:p>
        </w:tc>
      </w:tr>
      <w:tr w:rsidR="00556DC6" w:rsidRPr="00556DC6" w14:paraId="017044AD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4F2AD11E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Capraia Isola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8A53F4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2.917 €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67A0074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33%</w:t>
            </w:r>
          </w:p>
        </w:tc>
      </w:tr>
      <w:tr w:rsidR="00556DC6" w:rsidRPr="00556DC6" w14:paraId="7C90A6B4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4B074EDA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Alassio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268EF4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5.718 €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EAFE27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32%</w:t>
            </w:r>
          </w:p>
        </w:tc>
      </w:tr>
      <w:tr w:rsidR="00556DC6" w:rsidRPr="00556DC6" w14:paraId="1D5639E2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4584AAA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Cetara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A353E96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3.887 €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7AEF0BC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32%</w:t>
            </w:r>
          </w:p>
        </w:tc>
      </w:tr>
      <w:tr w:rsidR="00556DC6" w:rsidRPr="00556DC6" w14:paraId="2CC8A6B9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0FF767EC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 xml:space="preserve">Praiano - Furore - Conca dei Marini 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15A93E4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6.454 €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AE84C6C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29%</w:t>
            </w:r>
          </w:p>
        </w:tc>
      </w:tr>
      <w:tr w:rsidR="00556DC6" w:rsidRPr="00556DC6" w14:paraId="70403A53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28B0D8BB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Portofino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377496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8.848 €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247316F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28%</w:t>
            </w:r>
          </w:p>
        </w:tc>
      </w:tr>
      <w:tr w:rsidR="00556DC6" w:rsidRPr="00556DC6" w14:paraId="2C1C3CCC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6B0A7B89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Varazze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C321A81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4.220 €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92F715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26%</w:t>
            </w:r>
          </w:p>
        </w:tc>
      </w:tr>
      <w:tr w:rsidR="00556DC6" w:rsidRPr="00556DC6" w14:paraId="40F35F2E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2553374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Capo d'Orlando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9A3BEB6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1.777 €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9D8103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25%</w:t>
            </w:r>
          </w:p>
        </w:tc>
      </w:tr>
      <w:tr w:rsidR="00556DC6" w:rsidRPr="00556DC6" w14:paraId="34053A07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39746F2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Cattolica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D89869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2.876 €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FFCE5B5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23%</w:t>
            </w:r>
          </w:p>
        </w:tc>
      </w:tr>
      <w:tr w:rsidR="00556DC6" w:rsidRPr="00556DC6" w14:paraId="611C8AF4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47900040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Vasto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7A666BB1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1.574 €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63E5A57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23%</w:t>
            </w:r>
          </w:p>
        </w:tc>
      </w:tr>
      <w:tr w:rsidR="00556DC6" w:rsidRPr="00556DC6" w14:paraId="6015671B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1F0B9A32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Cervia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B2724B1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4.240 €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47B75A70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20%</w:t>
            </w:r>
          </w:p>
        </w:tc>
      </w:tr>
      <w:tr w:rsidR="00556DC6" w:rsidRPr="00556DC6" w14:paraId="0EF1456D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302170A5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Alghero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0DEB2AC2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2.276 €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1D40C87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18%</w:t>
            </w:r>
          </w:p>
        </w:tc>
      </w:tr>
      <w:tr w:rsidR="00556DC6" w:rsidRPr="00556DC6" w14:paraId="30B47330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9012AC8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Sorrento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CD31FBD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6.481 €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A754A68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18%</w:t>
            </w:r>
          </w:p>
        </w:tc>
      </w:tr>
      <w:tr w:rsidR="00556DC6" w:rsidRPr="00556DC6" w14:paraId="753ACFD0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15B3D880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Riccione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F8554BB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4.411 €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2910668C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8%</w:t>
            </w:r>
          </w:p>
        </w:tc>
      </w:tr>
      <w:tr w:rsidR="00556DC6" w:rsidRPr="00556DC6" w14:paraId="54B91A93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6C435F49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Sanremo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6FAB761E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3.065 €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1FDF4DD1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6%</w:t>
            </w:r>
          </w:p>
        </w:tc>
      </w:tr>
      <w:tr w:rsidR="00556DC6" w:rsidRPr="00556DC6" w14:paraId="1E53C488" w14:textId="77777777" w:rsidTr="00556DC6">
        <w:trPr>
          <w:trHeight w:val="285"/>
        </w:trPr>
        <w:tc>
          <w:tcPr>
            <w:tcW w:w="4100" w:type="dxa"/>
            <w:tcBorders>
              <w:top w:val="single" w:sz="4" w:space="0" w:color="1B5066"/>
              <w:left w:val="single" w:sz="8" w:space="0" w:color="1B5066"/>
              <w:bottom w:val="nil"/>
              <w:right w:val="single" w:sz="4" w:space="0" w:color="1A5065"/>
            </w:tcBorders>
            <w:shd w:val="clear" w:color="DFE8EF" w:fill="DFE8EF"/>
            <w:vAlign w:val="center"/>
            <w:hideMark/>
          </w:tcPr>
          <w:p w14:paraId="5C3D5676" w14:textId="77777777" w:rsidR="00556DC6" w:rsidRPr="00556DC6" w:rsidRDefault="00556DC6" w:rsidP="00556DC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2760" w:type="dxa"/>
            <w:tcBorders>
              <w:top w:val="nil"/>
              <w:left w:val="single" w:sz="8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382ADDA3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2.774 €</w:t>
            </w:r>
          </w:p>
        </w:tc>
        <w:tc>
          <w:tcPr>
            <w:tcW w:w="2760" w:type="dxa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FFFFF"/>
            <w:vAlign w:val="center"/>
            <w:hideMark/>
          </w:tcPr>
          <w:p w14:paraId="5F8577DA" w14:textId="77777777" w:rsidR="00556DC6" w:rsidRPr="00556DC6" w:rsidRDefault="00556DC6" w:rsidP="00556D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556DC6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0%</w:t>
            </w:r>
          </w:p>
        </w:tc>
      </w:tr>
    </w:tbl>
    <w:p w14:paraId="57910114" w14:textId="77777777" w:rsidR="00237D83" w:rsidRDefault="00237D83" w:rsidP="00237D83">
      <w:pPr>
        <w:spacing w:line="276" w:lineRule="auto"/>
        <w:jc w:val="both"/>
        <w:rPr>
          <w:rFonts w:ascii="Arial" w:hAnsi="Arial" w:cs="Arial"/>
        </w:rPr>
      </w:pPr>
    </w:p>
    <w:p w14:paraId="1C0CB14F" w14:textId="77777777" w:rsidR="002579BA" w:rsidRDefault="002579BA" w:rsidP="00783B08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DFADEF8" w14:textId="77777777" w:rsidR="002579BA" w:rsidRDefault="002579BA" w:rsidP="00783B08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0C489D93" w14:textId="77777777" w:rsidR="002579BA" w:rsidRDefault="002579BA" w:rsidP="00783B08">
      <w:pPr>
        <w:suppressAutoHyphens/>
        <w:spacing w:after="0" w:line="276" w:lineRule="auto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8D1BCD5" w14:textId="77777777" w:rsidR="002579BA" w:rsidRPr="00414211" w:rsidRDefault="00304E7A" w:rsidP="00783B08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2579BA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2579BA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1462C92" w14:textId="77777777" w:rsidR="002579BA" w:rsidRDefault="002579BA" w:rsidP="00783B08">
      <w:pPr>
        <w:spacing w:line="276" w:lineRule="auto"/>
      </w:pPr>
    </w:p>
    <w:p w14:paraId="7C2893CF" w14:textId="77777777" w:rsidR="002579BA" w:rsidRDefault="002579BA" w:rsidP="00783B08">
      <w:pPr>
        <w:spacing w:line="276" w:lineRule="auto"/>
      </w:pPr>
    </w:p>
    <w:p w14:paraId="3C7FAFCA" w14:textId="77777777" w:rsidR="00A30185" w:rsidRDefault="00A30185" w:rsidP="00783B08">
      <w:pPr>
        <w:spacing w:line="276" w:lineRule="auto"/>
      </w:pPr>
    </w:p>
    <w:sectPr w:rsidR="00A3018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78F5" w14:textId="77777777" w:rsidR="002579BA" w:rsidRDefault="002579BA" w:rsidP="002579BA">
      <w:pPr>
        <w:spacing w:after="0" w:line="240" w:lineRule="auto"/>
      </w:pPr>
      <w:r>
        <w:separator/>
      </w:r>
    </w:p>
  </w:endnote>
  <w:endnote w:type="continuationSeparator" w:id="0">
    <w:p w14:paraId="3C87917F" w14:textId="77777777" w:rsidR="002579BA" w:rsidRDefault="002579BA" w:rsidP="0025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81FE" w14:textId="59B9292B" w:rsidR="00237D83" w:rsidRPr="00237D83" w:rsidRDefault="00237D83">
    <w:pPr>
      <w:pStyle w:val="Pidipagina"/>
      <w:rPr>
        <w:rFonts w:ascii="Arial" w:hAnsi="Arial" w:cs="Arial"/>
        <w:sz w:val="20"/>
        <w:szCs w:val="20"/>
      </w:rPr>
    </w:pPr>
    <w:r w:rsidRPr="00237D83">
      <w:rPr>
        <w:rFonts w:ascii="Arial" w:hAnsi="Arial" w:cs="Arial"/>
        <w:sz w:val="20"/>
        <w:szCs w:val="20"/>
      </w:rPr>
      <w:t xml:space="preserve">*il confronto </w:t>
    </w:r>
    <w:r>
      <w:rPr>
        <w:rFonts w:ascii="Arial" w:hAnsi="Arial" w:cs="Arial"/>
        <w:sz w:val="20"/>
        <w:szCs w:val="20"/>
      </w:rPr>
      <w:t>è tra il periodo giugno-agosto 2023 rispetto a settembre 2022-maggio 2023</w:t>
    </w:r>
  </w:p>
  <w:p w14:paraId="25921E37" w14:textId="77777777" w:rsidR="00237D83" w:rsidRDefault="00237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503C" w14:textId="77777777" w:rsidR="002579BA" w:rsidRDefault="002579BA" w:rsidP="002579BA">
      <w:pPr>
        <w:spacing w:after="0" w:line="240" w:lineRule="auto"/>
      </w:pPr>
      <w:r>
        <w:separator/>
      </w:r>
    </w:p>
  </w:footnote>
  <w:footnote w:type="continuationSeparator" w:id="0">
    <w:p w14:paraId="53E0B630" w14:textId="77777777" w:rsidR="002579BA" w:rsidRDefault="002579BA" w:rsidP="0025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4A9" w14:textId="117EA52A" w:rsidR="002579BA" w:rsidRDefault="002579BA">
    <w:pPr>
      <w:pStyle w:val="Intestazione"/>
    </w:pPr>
    <w:r>
      <w:rPr>
        <w:noProof/>
      </w:rPr>
      <w:drawing>
        <wp:inline distT="0" distB="0" distL="0" distR="0" wp14:anchorId="4292EF49" wp14:editId="19F291BF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FCE8" w14:textId="77777777" w:rsidR="002579BA" w:rsidRDefault="002579BA">
    <w:pPr>
      <w:pStyle w:val="Intestazione"/>
    </w:pPr>
  </w:p>
  <w:p w14:paraId="6F34A99E" w14:textId="77777777" w:rsidR="002579BA" w:rsidRDefault="002579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9"/>
    <w:rsid w:val="00097A29"/>
    <w:rsid w:val="000A70F9"/>
    <w:rsid w:val="000D54D1"/>
    <w:rsid w:val="0015747D"/>
    <w:rsid w:val="0016405E"/>
    <w:rsid w:val="001F32D4"/>
    <w:rsid w:val="00216250"/>
    <w:rsid w:val="00237D83"/>
    <w:rsid w:val="002579BA"/>
    <w:rsid w:val="00292D15"/>
    <w:rsid w:val="002F5F91"/>
    <w:rsid w:val="00304E7A"/>
    <w:rsid w:val="00413542"/>
    <w:rsid w:val="00424C97"/>
    <w:rsid w:val="004B752E"/>
    <w:rsid w:val="00534506"/>
    <w:rsid w:val="00556DC6"/>
    <w:rsid w:val="005E74EC"/>
    <w:rsid w:val="00645466"/>
    <w:rsid w:val="00701089"/>
    <w:rsid w:val="00701E41"/>
    <w:rsid w:val="00735C57"/>
    <w:rsid w:val="00752964"/>
    <w:rsid w:val="00783B08"/>
    <w:rsid w:val="007C0660"/>
    <w:rsid w:val="007E4697"/>
    <w:rsid w:val="00873759"/>
    <w:rsid w:val="008A76B0"/>
    <w:rsid w:val="008C4BB5"/>
    <w:rsid w:val="00904488"/>
    <w:rsid w:val="00975DB5"/>
    <w:rsid w:val="009B6A74"/>
    <w:rsid w:val="00A30185"/>
    <w:rsid w:val="00AD1036"/>
    <w:rsid w:val="00C06CBA"/>
    <w:rsid w:val="00CF4A06"/>
    <w:rsid w:val="00D37308"/>
    <w:rsid w:val="00D4377B"/>
    <w:rsid w:val="00E07C90"/>
    <w:rsid w:val="00E23F6C"/>
    <w:rsid w:val="00E378C4"/>
    <w:rsid w:val="00E833E3"/>
    <w:rsid w:val="00F13EE7"/>
    <w:rsid w:val="00F50947"/>
    <w:rsid w:val="00FE433C"/>
    <w:rsid w:val="00FE4DA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EF7"/>
  <w15:chartTrackingRefBased/>
  <w15:docId w15:val="{4A69D4EF-5631-44D3-A7A9-FE77399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9BA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9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B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BA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B1C8-5667-4048-A6C9-04B722C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27</cp:revision>
  <dcterms:created xsi:type="dcterms:W3CDTF">2023-09-25T12:52:00Z</dcterms:created>
  <dcterms:modified xsi:type="dcterms:W3CDTF">2023-10-02T08:40:00Z</dcterms:modified>
</cp:coreProperties>
</file>