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5924" w14:textId="2A00006B" w:rsidR="008C60FF" w:rsidRPr="00DB12E3" w:rsidRDefault="008C60FF" w:rsidP="008C60FF">
      <w:pPr>
        <w:spacing w:after="120" w:line="264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b/>
          <w:bCs/>
          <w:color w:val="000000"/>
          <w:kern w:val="36"/>
          <w:lang w:eastAsia="it-IT"/>
          <w14:ligatures w14:val="none"/>
        </w:rPr>
        <w:t>Schroders</w:t>
      </w:r>
      <w:r w:rsidR="00DB12E3">
        <w:rPr>
          <w:rFonts w:ascii="Calibri" w:eastAsia="Times New Roman" w:hAnsi="Calibri" w:cs="Calibri"/>
          <w:b/>
          <w:bCs/>
          <w:color w:val="000000"/>
          <w:kern w:val="36"/>
          <w:lang w:eastAsia="it-IT"/>
          <w14:ligatures w14:val="none"/>
        </w:rPr>
        <w:t xml:space="preserve"> – S</w:t>
      </w:r>
      <w:r w:rsidR="00DB12E3" w:rsidRPr="00DB12E3">
        <w:rPr>
          <w:rFonts w:ascii="Calibri" w:eastAsia="Times New Roman" w:hAnsi="Calibri" w:cs="Calibri"/>
          <w:b/>
          <w:bCs/>
          <w:color w:val="000000"/>
          <w:kern w:val="36"/>
          <w:lang w:eastAsia="it-IT"/>
          <w14:ligatures w14:val="none"/>
        </w:rPr>
        <w:t>empre meno aziende d</w:t>
      </w:r>
      <w:r w:rsidR="00DB12E3">
        <w:rPr>
          <w:rFonts w:ascii="Calibri" w:eastAsia="Times New Roman" w:hAnsi="Calibri" w:cs="Calibri"/>
          <w:b/>
          <w:bCs/>
          <w:color w:val="000000"/>
          <w:kern w:val="36"/>
          <w:lang w:eastAsia="it-IT"/>
          <w14:ligatures w14:val="none"/>
        </w:rPr>
        <w:t>ecidono di quotarsi: le implicazioni per gli investitori</w:t>
      </w:r>
    </w:p>
    <w:p w14:paraId="127CA3C7" w14:textId="0DFAAB50" w:rsidR="008C60FF" w:rsidRPr="008C60FF" w:rsidRDefault="008C60FF" w:rsidP="008C60FF">
      <w:pPr>
        <w:spacing w:after="120" w:line="264" w:lineRule="auto"/>
        <w:rPr>
          <w:rFonts w:ascii="Calibri" w:eastAsia="Times New Roman" w:hAnsi="Calibri" w:cs="Calibri"/>
          <w:color w:val="767676"/>
          <w:kern w:val="0"/>
          <w:lang w:val="en-US" w:eastAsia="it-IT"/>
          <w14:ligatures w14:val="none"/>
        </w:rPr>
      </w:pPr>
      <w:r w:rsidRPr="008C60FF">
        <w:rPr>
          <w:rFonts w:ascii="Calibri" w:eastAsia="Times New Roman" w:hAnsi="Calibri" w:cs="Calibri"/>
          <w:color w:val="000000"/>
          <w:kern w:val="36"/>
          <w:lang w:val="en-US" w:eastAsia="it-IT"/>
          <w14:ligatures w14:val="none"/>
        </w:rPr>
        <w:t xml:space="preserve">A </w:t>
      </w:r>
      <w:proofErr w:type="spellStart"/>
      <w:r w:rsidRPr="008C60FF">
        <w:rPr>
          <w:rFonts w:ascii="Calibri" w:eastAsia="Times New Roman" w:hAnsi="Calibri" w:cs="Calibri"/>
          <w:color w:val="000000"/>
          <w:kern w:val="36"/>
          <w:lang w:val="en-US" w:eastAsia="it-IT"/>
          <w14:ligatures w14:val="none"/>
        </w:rPr>
        <w:t>cura</w:t>
      </w:r>
      <w:proofErr w:type="spellEnd"/>
      <w:r w:rsidRPr="008C60FF">
        <w:rPr>
          <w:rFonts w:ascii="Calibri" w:eastAsia="Times New Roman" w:hAnsi="Calibri" w:cs="Calibri"/>
          <w:color w:val="000000"/>
          <w:kern w:val="36"/>
          <w:lang w:val="en-US" w:eastAsia="it-IT"/>
          <w14:ligatures w14:val="none"/>
        </w:rPr>
        <w:t xml:space="preserve"> di </w:t>
      </w:r>
      <w:r w:rsidRPr="008C60FF">
        <w:rPr>
          <w:rFonts w:ascii="Calibri" w:eastAsia="Times New Roman" w:hAnsi="Calibri" w:cs="Calibri"/>
          <w:b/>
          <w:bCs/>
          <w:kern w:val="0"/>
          <w:lang w:val="en-US" w:eastAsia="it-IT"/>
          <w14:ligatures w14:val="none"/>
        </w:rPr>
        <w:t>Duncan Lamont, CFA, Head of Strategic Research, Schroders</w:t>
      </w:r>
    </w:p>
    <w:p w14:paraId="0D9BD82A" w14:textId="77777777" w:rsidR="008C60FF" w:rsidRDefault="008C60FF" w:rsidP="008C60F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val="en-US" w:eastAsia="it-IT"/>
          <w14:ligatures w14:val="none"/>
        </w:rPr>
      </w:pPr>
    </w:p>
    <w:p w14:paraId="203D32BF" w14:textId="737709E2" w:rsidR="00B5287F" w:rsidRPr="00B5287F" w:rsidRDefault="001B561E" w:rsidP="00B5287F">
      <w:pPr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Le aziende stanno abbandonando i listini. </w:t>
      </w:r>
      <w:r w:rsidR="00B5287F" w:rsidRPr="00DB12E3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Nel 1996 erano oltre 2.700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le </w:t>
      </w:r>
      <w:r w:rsidR="00B5287F" w:rsidRPr="00DB12E3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società quotate sul mercato principale della Borsa di Londra. Alla fine del 2022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questo numero è sceso</w:t>
      </w:r>
      <w:r w:rsidR="00B5287F" w:rsidRPr="00DB12E3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a 1.100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:</w:t>
      </w:r>
      <w:r w:rsidR="00B5287F" w:rsidRPr="00DB12E3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una riduzione del 60%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44555175" w14:textId="38C32627" w:rsidR="00B5287F" w:rsidRPr="00B5287F" w:rsidRDefault="00B5287F" w:rsidP="00B5287F">
      <w:pPr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Le cifre appaiono ancora peggiori se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consideriamo</w:t>
      </w: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un arco temporale più lungo. </w:t>
      </w:r>
      <w:r w:rsidRPr="00DB12E3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Dagli anni '60 il numero di società quotate in borsa nel Regno Unito è diminuito di quasi il 75%</w:t>
      </w: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0E011590" w14:textId="319B742B" w:rsidR="00B5287F" w:rsidRPr="00B5287F" w:rsidRDefault="001B561E" w:rsidP="00B5287F">
      <w:pPr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U</w:t>
      </w:r>
      <w:r w:rsidR="00B5287F" w:rsidRPr="00B5287F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na tendenza globale</w:t>
      </w:r>
    </w:p>
    <w:p w14:paraId="51B81326" w14:textId="12762DB9" w:rsidR="00B5287F" w:rsidRPr="00B5287F" w:rsidRDefault="00B5287F" w:rsidP="00B5287F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I singoli Paesi </w:t>
      </w:r>
      <w:r w:rsidR="001B561E">
        <w:rPr>
          <w:rFonts w:ascii="Calibri" w:eastAsia="Times New Roman" w:hAnsi="Calibri" w:cs="Calibri"/>
          <w:kern w:val="0"/>
          <w:lang w:eastAsia="it-IT"/>
          <w14:ligatures w14:val="none"/>
        </w:rPr>
        <w:t>tendono a</w:t>
      </w:r>
      <w:r w:rsidR="001B561E"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rimproverarsi per </w:t>
      </w:r>
      <w:r w:rsidR="00650185">
        <w:rPr>
          <w:rFonts w:ascii="Calibri" w:eastAsia="Times New Roman" w:hAnsi="Calibri" w:cs="Calibri"/>
          <w:kern w:val="0"/>
          <w:lang w:eastAsia="it-IT"/>
          <w14:ligatures w14:val="none"/>
        </w:rPr>
        <w:t>le proprie mancanze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su questo fronte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ma la realtà è che si tratta di </w:t>
      </w:r>
      <w:proofErr w:type="gramStart"/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un</w:t>
      </w:r>
      <w:r w:rsidR="001B561E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trend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globale</w:t>
      </w:r>
      <w:proofErr w:type="gramEnd"/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La crisi europea è iniziata più tardi, ma </w:t>
      </w:r>
      <w:r w:rsidRPr="00DB12E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la Germania ha perso più del 40% delle sue società pubbliche dal 2007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Anche gli Stati Uniti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, spesso ammirati da lontano, </w:t>
      </w: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hanno registrato un calo del 40% dal 1996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. E questo anche se si tiene conto del boom delle offerte pubbliche iniziali (IPO) negli Stati Uniti nel 2021.</w:t>
      </w:r>
    </w:p>
    <w:p w14:paraId="552DC15D" w14:textId="5377A3E6" w:rsidR="008C60FF" w:rsidRPr="008C60FF" w:rsidRDefault="008C60FF" w:rsidP="008C60F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8C60FF">
        <w:rPr>
          <w:rFonts w:ascii="Calibri" w:eastAsia="Times New Roman" w:hAnsi="Calibri" w:cs="Calibri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7A99FF45" wp14:editId="11B280C6">
            <wp:extent cx="4064846" cy="2597150"/>
            <wp:effectExtent l="0" t="0" r="0" b="0"/>
            <wp:docPr id="2078214759" name="Immagine 4" descr="Charts showing global decline of listed equ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s showing global decline of listed equ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467" cy="260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CFC0" w14:textId="3BF820DF" w:rsidR="000E2DCA" w:rsidRPr="000E2DCA" w:rsidRDefault="000E2DCA" w:rsidP="00B5287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>Cosa è accaduto?</w:t>
      </w:r>
    </w:p>
    <w:p w14:paraId="5928D05B" w14:textId="7E3F9008" w:rsidR="00B5287F" w:rsidRPr="00B5287F" w:rsidRDefault="001B561E" w:rsidP="00B5287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Da un lato 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poche aziende hanno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deciso di</w:t>
      </w: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entrare nel mercato azionario</w:t>
      </w:r>
      <w:r w:rsidR="00C6154C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dall’altro c’è stato 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un flusso costante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di società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in uscita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 soprattutto dopo essere stat</w:t>
      </w:r>
      <w:r w:rsidR="00D9626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acquistat</w:t>
      </w:r>
      <w:r w:rsidR="00650185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</w:t>
      </w:r>
      <w:r w:rsidR="00B5287F"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0DCE0E79" w14:textId="0A3421C7" w:rsidR="00B5287F" w:rsidRPr="00B5287F" w:rsidRDefault="00B5287F" w:rsidP="00B5287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Negli Stati Uniti, tra il 1980 e il 1999 </w:t>
      </w:r>
      <w:r w:rsidR="00C6154C"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in media </w:t>
      </w:r>
      <w:r w:rsidR="00C6154C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si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sono </w:t>
      </w:r>
      <w:r w:rsidR="00C6154C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quotate</w:t>
      </w:r>
      <w:r w:rsidR="00C6154C"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in </w:t>
      </w:r>
      <w:r w:rsidR="00D9626F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B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orsa più di 300 società all'anno. Da allora, se ne contano solo 129 all'anno</w:t>
      </w: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 Nel Regno Unito, il numero di nuove quotazioni è calato dopo la crisi finanziaria e da allora non ha registrato una ripresa significativa.</w:t>
      </w:r>
    </w:p>
    <w:p w14:paraId="68E7A493" w14:textId="77777777" w:rsidR="009873CA" w:rsidRDefault="00B5287F" w:rsidP="00B5287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Anche la raccolta di denaro nelle IPO britanniche è in costante calo. Per le società con sede nel Regno Unito, questa tendenza si è manifestata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 partire dall’inizio</w:t>
      </w:r>
      <w:r w:rsidRPr="00B5287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degli anni '90. Per le società estere, invece, la tendenza si è verificata negli ultimi dieci anni.</w:t>
      </w:r>
    </w:p>
    <w:p w14:paraId="4FF486D2" w14:textId="77777777" w:rsidR="009873CA" w:rsidRPr="00B5287F" w:rsidRDefault="009873CA" w:rsidP="009873CA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Anche quelle che sono entrate in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B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orsa hanno aspettato più a lungo prima di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quotarsi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L'età media di una società statunitense al momento dell'IPO è passata da otto anni nei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vent’anni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precedenti al 1999 a 11 anni.</w:t>
      </w:r>
    </w:p>
    <w:p w14:paraId="6BA64A10" w14:textId="7137132D" w:rsidR="008C60FF" w:rsidRPr="008C60FF" w:rsidRDefault="008C60FF" w:rsidP="00B5287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8C60FF">
        <w:rPr>
          <w:rFonts w:ascii="Calibri" w:eastAsia="Times New Roman" w:hAnsi="Calibri" w:cs="Calibri"/>
          <w:noProof/>
          <w:color w:val="000000"/>
          <w:kern w:val="0"/>
          <w:lang w:eastAsia="it-IT"/>
          <w14:ligatures w14:val="none"/>
        </w:rPr>
        <w:lastRenderedPageBreak/>
        <w:drawing>
          <wp:inline distT="0" distB="0" distL="0" distR="0" wp14:anchorId="00E2FCD2" wp14:editId="3B7D51E8">
            <wp:extent cx="4064400" cy="2596865"/>
            <wp:effectExtent l="0" t="0" r="0" b="0"/>
            <wp:docPr id="51325638" name="Immagine 3" descr="Charts showing global decline of listed equ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s showing global decline of listed equ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25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B28F3" w14:textId="00B149EC" w:rsidR="00B5287F" w:rsidRPr="000B51DA" w:rsidRDefault="00476A53" w:rsidP="00B5287F">
      <w:pPr>
        <w:spacing w:after="120" w:line="264" w:lineRule="auto"/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Meno accesso per gli investitori</w:t>
      </w:r>
      <w:r w:rsidR="00B5287F" w:rsidRPr="000B51DA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 xml:space="preserve"> a un ampio segmento di aziende</w:t>
      </w:r>
    </w:p>
    <w:p w14:paraId="35CB796B" w14:textId="2C6D8B6C" w:rsidR="00B5287F" w:rsidRPr="00B5287F" w:rsidRDefault="00B5287F" w:rsidP="00B5287F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L'effetto </w:t>
      </w:r>
      <w:r w:rsidR="00476A5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netto </w:t>
      </w: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di tutto ciò è che il mercato azionario offre oggi esposizione a una parte</w:t>
      </w:r>
      <w:r w:rsidR="00476A53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sempre più</w:t>
      </w: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ridotta dell'universo aziendale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.</w:t>
      </w:r>
      <w:r w:rsidR="000B51DA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Ad esempio, </w:t>
      </w:r>
      <w:r w:rsidRPr="000E2DCA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meno del 15% delle società statunitensi con ricavi superiori a 100 milioni di dollari è quotato in borsa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. </w:t>
      </w:r>
      <w:r w:rsidR="00D9626F">
        <w:rPr>
          <w:rFonts w:ascii="Calibri" w:eastAsia="Times New Roman" w:hAnsi="Calibri" w:cs="Calibri"/>
          <w:kern w:val="0"/>
          <w:lang w:eastAsia="it-IT"/>
          <w14:ligatures w14:val="none"/>
        </w:rPr>
        <w:t>Perciò, i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normali risparmiatori sono in gran parte privati dell'opportunità di investire direttamente </w:t>
      </w:r>
      <w:r w:rsidR="00D9626F">
        <w:rPr>
          <w:rFonts w:ascii="Calibri" w:eastAsia="Times New Roman" w:hAnsi="Calibri" w:cs="Calibri"/>
          <w:kern w:val="0"/>
          <w:lang w:eastAsia="it-IT"/>
          <w14:ligatures w14:val="none"/>
        </w:rPr>
        <w:t>in tutte le</w:t>
      </w:r>
      <w:r w:rsidR="00D9626F"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</w:t>
      </w:r>
      <w:r w:rsidRPr="00B5287F">
        <w:rPr>
          <w:rFonts w:ascii="Calibri" w:eastAsia="Times New Roman" w:hAnsi="Calibri" w:cs="Calibri"/>
          <w:kern w:val="0"/>
          <w:lang w:eastAsia="it-IT"/>
          <w14:ligatures w14:val="none"/>
        </w:rPr>
        <w:t>altre.</w:t>
      </w:r>
    </w:p>
    <w:p w14:paraId="7B2DE3F5" w14:textId="1ADD1760" w:rsidR="008C60FF" w:rsidRPr="008C60FF" w:rsidRDefault="008C60FF" w:rsidP="008C60FF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8C60FF">
        <w:rPr>
          <w:rFonts w:ascii="Calibri" w:eastAsia="Times New Roman" w:hAnsi="Calibri" w:cs="Calibri"/>
          <w:noProof/>
          <w:color w:val="000000"/>
          <w:kern w:val="0"/>
          <w:lang w:eastAsia="it-IT"/>
          <w14:ligatures w14:val="none"/>
        </w:rPr>
        <w:drawing>
          <wp:inline distT="0" distB="0" distL="0" distR="0" wp14:anchorId="1F09B66B" wp14:editId="335FF454">
            <wp:extent cx="4064400" cy="2596863"/>
            <wp:effectExtent l="0" t="0" r="0" b="0"/>
            <wp:docPr id="1372270370" name="Immagine 2" descr="Charts showing global decline of listed equ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s showing global decline of listed equ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25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F94E" w14:textId="77777777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>Perché questo cambiamento?</w:t>
      </w:r>
    </w:p>
    <w:p w14:paraId="5398522B" w14:textId="62BA9F45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Le spiegazioni principali sono due. In primo luogo, sono aumentati i costi e le difficoltà di </w:t>
      </w:r>
      <w:r w:rsidR="00D9626F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essere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una public</w:t>
      </w:r>
      <w:r w:rsidR="00D9626F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company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="00D9626F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Per citare un esempio, u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na recente ricerca ha rilevato che la lunghezza della relazione annuale di una società britannica è aumentata del 46% negli ultimi cinque anni</w:t>
      </w:r>
      <w:r w:rsidRPr="00DB12E3">
        <w:rPr>
          <w:rFonts w:ascii="Calibri" w:eastAsia="Times New Roman" w:hAnsi="Calibri" w:cs="Calibri"/>
          <w:color w:val="000000"/>
          <w:kern w:val="0"/>
          <w:vertAlign w:val="superscript"/>
          <w:lang w:eastAsia="it-IT"/>
          <w14:ligatures w14:val="none"/>
        </w:rPr>
        <w:t>1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 Per le società del FTSE 100 la lunghezza è ora di 147.000 parole e 237 pagine.</w:t>
      </w:r>
    </w:p>
    <w:p w14:paraId="60067989" w14:textId="77777777" w:rsidR="00DB12E3" w:rsidRPr="00650185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Questa tendenza è stata globale e si è verificata anche nei mercati a regolamentazione più "leggera", come </w:t>
      </w:r>
      <w:proofErr w:type="spellStart"/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l'Alternative</w:t>
      </w:r>
      <w:proofErr w:type="spellEnd"/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Investment Market (AIM) di Londra. Il numero medio di parole nei risultati annuali di una società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quotata sull’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AIM è comprensibilmente molto più basso, con 46.000 parole. Ma il tasso di crescita in questo caso è stato addirittura superiore a quello delle società più grandi, con un aumento del 51% negli ultimi cinque anni. </w:t>
      </w:r>
      <w:r w:rsidRPr="00650185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La produzione di queste relazioni "a prova di bomba" richiede tempo e denaro.</w:t>
      </w:r>
    </w:p>
    <w:p w14:paraId="6104AD02" w14:textId="3F4555A7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Tra gli altri aspetti che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giocano a sfavore de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 mercati pubblici nel trade-off costi-benefici vi sono la perdita di controllo, la trasparenza indesiderata, la percezione del breve termine e altro ancora.</w:t>
      </w:r>
    </w:p>
    <w:p w14:paraId="0B6E178C" w14:textId="2C7D134D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lastRenderedPageBreak/>
        <w:t xml:space="preserve">L'altra ragione importante per cui le aziende hanno rinunciato alla quotazione in </w:t>
      </w:r>
      <w:r w:rsidR="00D9626F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B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orsa è che è diventata più disponibile un'altra fonte di finanziamento</w:t>
      </w:r>
      <w:r w:rsidR="000E2DCA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, che </w:t>
      </w:r>
      <w:r w:rsidRPr="000E2DCA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non presenta molti di questi svantaggi percepiti: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il private equity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79112D5A" w14:textId="018A79EB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Il private equity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è passato da essere un settore d</w:t>
      </w:r>
      <w:r w:rsidR="007157DB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a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500-600 miliardi di dollari all'inizio degli anni 2000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vertAlign w:val="superscript"/>
          <w:lang w:eastAsia="it-IT"/>
          <w14:ligatures w14:val="none"/>
        </w:rPr>
        <w:t>2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a un valore di oltre 7.500 miliardi di dollari nel 2022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vertAlign w:val="superscript"/>
          <w:lang w:eastAsia="it-IT"/>
          <w14:ligatures w14:val="none"/>
        </w:rPr>
        <w:t>3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 Con questa crescita, la dimensione de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i finanziamenti 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che il settore può emettere è aumentata. Ora è in grado di finanziare le aziende in una fase molto più avanzata del loro sviluppo rispetto al passato.</w:t>
      </w:r>
    </w:p>
    <w:p w14:paraId="3B80B23C" w14:textId="3873D685" w:rsidR="00DB12E3" w:rsidRPr="00DB12E3" w:rsidRDefault="00DB12E3" w:rsidP="00DB12E3">
      <w:pPr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Quando Google (ora Alphabet) è entrata in borsa nel 2004, aveva raccolto solo 25 milioni di dollari dai mercati privati. Oggi i </w:t>
      </w:r>
      <w:r w:rsidR="007157DB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maggiori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unicorni possono raccogliere decine di miliardi di dollari. Gli investitori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azionari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avrebbero la possibilità di investire in Google in una fase così precoce? È improbabile.</w:t>
      </w:r>
    </w:p>
    <w:p w14:paraId="21244088" w14:textId="555A46C4" w:rsidR="00DB12E3" w:rsidRPr="009873CA" w:rsidRDefault="00DB12E3" w:rsidP="00DB12E3">
      <w:pPr>
        <w:spacing w:after="120" w:line="264" w:lineRule="auto"/>
        <w:outlineLvl w:val="1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Le aziende non sono attratte dal private equity solo per i soldi.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I migliori investitori di private equity possiedono anche una profonda esperienza nel settore e adottano un approccio molto più pratico per creare valore. </w:t>
      </w:r>
      <w:r w:rsidRPr="009873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Sono ricercati sia dagli investitori </w:t>
      </w:r>
      <w:r w:rsidR="00531D6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sia</w:t>
      </w:r>
      <w:r w:rsidR="00531D69" w:rsidRPr="009873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</w:t>
      </w:r>
      <w:r w:rsidRPr="009873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dalle aziende.</w:t>
      </w:r>
    </w:p>
    <w:p w14:paraId="5E17F0D8" w14:textId="53BB0F5E" w:rsidR="00DB12E3" w:rsidRPr="00DB12E3" w:rsidRDefault="004B2101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>U</w:t>
      </w:r>
      <w:r w:rsidR="00DB12E3" w:rsidRPr="00DB12E3"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 xml:space="preserve">n problema per gli investitori </w:t>
      </w:r>
      <w:r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>retail</w:t>
      </w:r>
    </w:p>
    <w:p w14:paraId="577F6E3A" w14:textId="2F47638A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Il mercato azionario è il modo più economico e accessibile con cui i risparmiatori possono partecipare alla crescita del settore aziendale. Il private equity è stato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invece 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storicamente terreno dei grandi investitori istituzionali.</w:t>
      </w:r>
    </w:p>
    <w:p w14:paraId="46D1BD29" w14:textId="2D052241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Tuttavia,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con</w:t>
      </w:r>
      <w:r w:rsidR="00646D14"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le aziende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che 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scelgono di rimanere private più a lungo, gli investitori concentra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ti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sul mercato azionario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restano fuori da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una parte sempre più ampia dell'economia globale. Molte di queste aziende operano in settori dirompenti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e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in forte crescita.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Se le aziende di alta qualità trovano pochi motivi per quotarsi in </w:t>
      </w:r>
      <w:r w:rsidR="00531D6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B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orsa, il rischio è che col tempo la qualità dei mercati pubblici si deteriori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. Se ciò dovesse accadere, </w:t>
      </w: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i rendimenti dei mercati azionari pubblici in aggregato potrebbero diminuire strutturalmente rispetto ai mercati privati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0130F450" w14:textId="4D91244E" w:rsidR="00DB12E3" w:rsidRPr="009873CA" w:rsidRDefault="00DB12E3" w:rsidP="00DB12E3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Laddove possibile, gli investitori dovranno ampliare il loro raggio d'azione e abbracciare gli asset privati per evitare di perdere terreno. Finora, però, per i </w:t>
      </w:r>
      <w:r w:rsidR="00646D1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normali </w:t>
      </w:r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risparmiatori non è stato facile farlo. </w:t>
      </w:r>
      <w:r w:rsidRPr="009873CA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Sono </w:t>
      </w:r>
      <w:r w:rsidR="00646D14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specialmente </w:t>
      </w:r>
      <w:r w:rsidRPr="009873CA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loro a </w:t>
      </w:r>
      <w:r w:rsidR="00646D14">
        <w:rPr>
          <w:rFonts w:ascii="Calibri" w:eastAsia="Times New Roman" w:hAnsi="Calibri" w:cs="Calibri"/>
          <w:kern w:val="0"/>
          <w:lang w:eastAsia="it-IT"/>
          <w14:ligatures w14:val="none"/>
        </w:rPr>
        <w:t>subire le conseguenze</w:t>
      </w:r>
      <w:r w:rsidRPr="009873CA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di questi sviluppi.</w:t>
      </w:r>
    </w:p>
    <w:p w14:paraId="36D6E1C1" w14:textId="015F1D65" w:rsidR="00DB12E3" w:rsidRPr="00DB12E3" w:rsidRDefault="00C332EA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>L’intervento</w:t>
      </w:r>
      <w:r w:rsidR="00DB12E3">
        <w:rPr>
          <w:rFonts w:ascii="Calibri" w:eastAsia="Times New Roman" w:hAnsi="Calibri" w:cs="Calibri"/>
          <w:color w:val="000000"/>
          <w:kern w:val="0"/>
          <w:u w:val="single"/>
          <w:lang w:eastAsia="it-IT"/>
          <w14:ligatures w14:val="none"/>
        </w:rPr>
        <w:t xml:space="preserve"> normativo</w:t>
      </w:r>
    </w:p>
    <w:p w14:paraId="6C9F808D" w14:textId="38F76370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Nel Regno Unito e in Europa, le autorità di regolamentazione e gli asset manager hanno risposto creando nuovi veicoli di investimento noti come ELTIF (</w:t>
      </w:r>
      <w:proofErr w:type="spellStart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European</w:t>
      </w:r>
      <w:proofErr w:type="spellEnd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Long-</w:t>
      </w:r>
      <w:proofErr w:type="spellStart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term</w:t>
      </w:r>
      <w:proofErr w:type="spellEnd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Investment Fund) e, per gli investitori britannici, LTAF (Long-</w:t>
      </w:r>
      <w:proofErr w:type="spellStart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term</w:t>
      </w:r>
      <w:proofErr w:type="spellEnd"/>
      <w:r w:rsidRPr="000E2DCA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Asset Fund).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Entrambi mirano a dare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agli investitori retail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l'accesso a una gamma più ampia di investimenti, compresi i mercati privati.</w:t>
      </w:r>
    </w:p>
    <w:p w14:paraId="6F8AEB98" w14:textId="67825735" w:rsidR="00DB12E3" w:rsidRPr="00DB12E3" w:rsidRDefault="00DB12E3" w:rsidP="00DB12E3">
      <w:pPr>
        <w:spacing w:after="120" w:line="264" w:lineRule="auto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Se da un lato ciò va accolto con favore, dall'altro non dobbiamo perdere di vista l'altra area su cui è necessario concentrarsi: migliorare l'attrattiv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ità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="00646D14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del quotarsi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in </w:t>
      </w:r>
      <w:r w:rsidR="00531D6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B</w:t>
      </w:r>
      <w:r w:rsidRPr="00DB12E3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orsa rispetto alla proprietà privata.</w:t>
      </w:r>
    </w:p>
    <w:p w14:paraId="38C7482A" w14:textId="13317B6B" w:rsidR="00DB12E3" w:rsidRPr="00DB12E3" w:rsidRDefault="00DB12E3" w:rsidP="008C60FF">
      <w:pPr>
        <w:spacing w:after="120" w:line="264" w:lineRule="auto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Nel Regno Unito questo problema è </w:t>
      </w:r>
      <w:r>
        <w:rPr>
          <w:rFonts w:ascii="Calibri" w:eastAsia="Times New Roman" w:hAnsi="Calibri" w:cs="Calibri"/>
          <w:kern w:val="0"/>
          <w:lang w:eastAsia="it-IT"/>
          <w14:ligatures w14:val="none"/>
        </w:rPr>
        <w:t>noto</w:t>
      </w:r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da tempo - già nel 2012 la </w:t>
      </w:r>
      <w:proofErr w:type="spellStart"/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>Kay</w:t>
      </w:r>
      <w:proofErr w:type="spellEnd"/>
      <w:r w:rsidRPr="00DB12E3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Review aveva evidenziato come il mercato azionario britannico non fosse in grado di servire gli investitori e le aziende - ma negli ultimi tempi la questione si sta facendo sempre più pressante. Abbiamo avuto la Hill Review nel 2021, le riforme di Edimburgo nel 2022 e una serie di recenti proposte per rivitalizzare l'interesse dei fondi pensione e delle compagnie di assicurazione nei mercati azionari.</w:t>
      </w:r>
    </w:p>
    <w:p w14:paraId="55D58893" w14:textId="77777777" w:rsidR="009873CA" w:rsidRPr="000870C8" w:rsidRDefault="009873CA" w:rsidP="008C60FF">
      <w:pPr>
        <w:spacing w:after="120" w:line="264" w:lineRule="auto"/>
        <w:rPr>
          <w:rFonts w:ascii="Calibri" w:eastAsia="Times New Roman" w:hAnsi="Calibri" w:cs="Calibri"/>
          <w:i/>
          <w:iCs/>
          <w:color w:val="000000"/>
          <w:kern w:val="0"/>
          <w:lang w:eastAsia="it-IT"/>
          <w14:ligatures w14:val="none"/>
        </w:rPr>
      </w:pPr>
    </w:p>
    <w:p w14:paraId="0C3FAE83" w14:textId="72E4FD47" w:rsidR="008C60FF" w:rsidRPr="000870C8" w:rsidRDefault="000E2DCA" w:rsidP="000870C8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:sz w:val="16"/>
          <w:szCs w:val="16"/>
          <w:lang w:val="en-US" w:eastAsia="it-IT"/>
          <w14:ligatures w14:val="none"/>
        </w:rPr>
      </w:pP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val="en-US" w:eastAsia="it-IT"/>
          <w14:ligatures w14:val="none"/>
        </w:rPr>
        <w:t>Fonti</w:t>
      </w:r>
      <w:r w:rsidR="008C60FF"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val="en-US" w:eastAsia="it-IT"/>
          <w14:ligatures w14:val="none"/>
        </w:rPr>
        <w:t>:</w:t>
      </w:r>
    </w:p>
    <w:p w14:paraId="02168813" w14:textId="77777777" w:rsidR="008C60FF" w:rsidRPr="000870C8" w:rsidRDefault="008C60FF" w:rsidP="000870C8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:sz w:val="16"/>
          <w:szCs w:val="16"/>
          <w:lang w:val="en-US" w:eastAsia="it-IT"/>
          <w14:ligatures w14:val="none"/>
        </w:rPr>
      </w:pPr>
      <w:r w:rsidRPr="000870C8">
        <w:rPr>
          <w:rFonts w:ascii="Calibri" w:eastAsia="Times New Roman" w:hAnsi="Calibri" w:cs="Calibri"/>
          <w:color w:val="000000"/>
          <w:kern w:val="0"/>
          <w:sz w:val="16"/>
          <w:szCs w:val="16"/>
          <w:vertAlign w:val="superscript"/>
          <w:lang w:val="en-US" w:eastAsia="it-IT"/>
          <w14:ligatures w14:val="none"/>
        </w:rPr>
        <w:t>1</w:t>
      </w: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val="en-US" w:eastAsia="it-IT"/>
          <w14:ligatures w14:val="none"/>
        </w:rPr>
        <w:t>The Quoted Companies Alliance: </w:t>
      </w:r>
      <w:hyperlink r:id="rId8" w:tgtFrame="_blank" w:history="1">
        <w:r w:rsidRPr="000870C8">
          <w:rPr>
            <w:rFonts w:ascii="Calibri" w:eastAsia="Times New Roman" w:hAnsi="Calibri" w:cs="Calibri"/>
            <w:i/>
            <w:iCs/>
            <w:color w:val="0000FF"/>
            <w:kern w:val="0"/>
            <w:sz w:val="16"/>
            <w:szCs w:val="16"/>
            <w:u w:val="single"/>
            <w:lang w:val="en-US" w:eastAsia="it-IT"/>
            <w14:ligatures w14:val="none"/>
          </w:rPr>
          <w:t>A never-ending story</w:t>
        </w:r>
      </w:hyperlink>
    </w:p>
    <w:p w14:paraId="356EE206" w14:textId="77777777" w:rsidR="008C60FF" w:rsidRPr="000870C8" w:rsidRDefault="008C60FF" w:rsidP="000870C8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:sz w:val="16"/>
          <w:szCs w:val="16"/>
          <w:lang w:val="en-US" w:eastAsia="it-IT"/>
          <w14:ligatures w14:val="none"/>
        </w:rPr>
      </w:pP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vertAlign w:val="superscript"/>
          <w:lang w:val="en-US" w:eastAsia="it-IT"/>
          <w14:ligatures w14:val="none"/>
        </w:rPr>
        <w:t>2</w:t>
      </w: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val="en-US" w:eastAsia="it-IT"/>
          <w14:ligatures w14:val="none"/>
        </w:rPr>
        <w:t>McKinsey &amp; Co: </w:t>
      </w:r>
      <w:hyperlink r:id="rId9" w:tgtFrame="_blank" w:history="1">
        <w:r w:rsidRPr="000870C8">
          <w:rPr>
            <w:rFonts w:ascii="Calibri" w:eastAsia="Times New Roman" w:hAnsi="Calibri" w:cs="Calibri"/>
            <w:i/>
            <w:iCs/>
            <w:color w:val="0000FF"/>
            <w:kern w:val="0"/>
            <w:sz w:val="16"/>
            <w:szCs w:val="16"/>
            <w:u w:val="single"/>
            <w:lang w:val="en-US" w:eastAsia="it-IT"/>
            <w14:ligatures w14:val="none"/>
          </w:rPr>
          <w:t>A routinely exceptional year</w:t>
        </w:r>
      </w:hyperlink>
    </w:p>
    <w:p w14:paraId="79E1BE98" w14:textId="77777777" w:rsidR="008C60FF" w:rsidRPr="000870C8" w:rsidRDefault="008C60FF" w:rsidP="000870C8">
      <w:pPr>
        <w:spacing w:after="0" w:line="240" w:lineRule="auto"/>
        <w:contextualSpacing/>
        <w:rPr>
          <w:rFonts w:ascii="Calibri" w:eastAsia="Times New Roman" w:hAnsi="Calibri" w:cs="Calibri"/>
          <w:color w:val="000000"/>
          <w:kern w:val="0"/>
          <w:sz w:val="16"/>
          <w:szCs w:val="16"/>
          <w:lang w:val="en-US" w:eastAsia="it-IT"/>
          <w14:ligatures w14:val="none"/>
        </w:rPr>
      </w:pP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vertAlign w:val="superscript"/>
          <w:lang w:val="en-US" w:eastAsia="it-IT"/>
          <w14:ligatures w14:val="none"/>
        </w:rPr>
        <w:t>3</w:t>
      </w:r>
      <w:r w:rsidRPr="000870C8">
        <w:rPr>
          <w:rFonts w:ascii="Calibri" w:eastAsia="Times New Roman" w:hAnsi="Calibri" w:cs="Calibri"/>
          <w:i/>
          <w:iCs/>
          <w:color w:val="000000"/>
          <w:kern w:val="0"/>
          <w:sz w:val="16"/>
          <w:szCs w:val="16"/>
          <w:lang w:val="en-US" w:eastAsia="it-IT"/>
          <w14:ligatures w14:val="none"/>
        </w:rPr>
        <w:t>McKinsey &amp; Co: </w:t>
      </w:r>
      <w:hyperlink r:id="rId10" w:tgtFrame="_self" w:history="1">
        <w:r w:rsidRPr="000870C8">
          <w:rPr>
            <w:rFonts w:ascii="Calibri" w:eastAsia="Times New Roman" w:hAnsi="Calibri" w:cs="Calibri"/>
            <w:i/>
            <w:iCs/>
            <w:color w:val="0000FF"/>
            <w:kern w:val="0"/>
            <w:sz w:val="16"/>
            <w:szCs w:val="16"/>
            <w:u w:val="single"/>
            <w:lang w:val="en-US" w:eastAsia="it-IT"/>
            <w14:ligatures w14:val="none"/>
          </w:rPr>
          <w:t>Private markets turn down the volume</w:t>
        </w:r>
      </w:hyperlink>
    </w:p>
    <w:p w14:paraId="05EA7BF8" w14:textId="77777777" w:rsidR="00461F81" w:rsidRPr="008C60FF" w:rsidRDefault="00461F81" w:rsidP="008C60FF">
      <w:pPr>
        <w:spacing w:after="120" w:line="264" w:lineRule="auto"/>
        <w:rPr>
          <w:rFonts w:ascii="Calibri" w:hAnsi="Calibri" w:cs="Calibri"/>
          <w:lang w:val="en-US"/>
        </w:rPr>
      </w:pPr>
    </w:p>
    <w:sectPr w:rsidR="00461F81" w:rsidRPr="008C6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205F"/>
    <w:multiLevelType w:val="multilevel"/>
    <w:tmpl w:val="430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57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19"/>
    <w:rsid w:val="000870C8"/>
    <w:rsid w:val="000B51DA"/>
    <w:rsid w:val="000E2DCA"/>
    <w:rsid w:val="001B561E"/>
    <w:rsid w:val="00461F81"/>
    <w:rsid w:val="00476A53"/>
    <w:rsid w:val="004B2101"/>
    <w:rsid w:val="00531D69"/>
    <w:rsid w:val="00646D14"/>
    <w:rsid w:val="00650185"/>
    <w:rsid w:val="007157DB"/>
    <w:rsid w:val="008C60FF"/>
    <w:rsid w:val="009873CA"/>
    <w:rsid w:val="00A26819"/>
    <w:rsid w:val="00B5287F"/>
    <w:rsid w:val="00C332EA"/>
    <w:rsid w:val="00C3659E"/>
    <w:rsid w:val="00C6154C"/>
    <w:rsid w:val="00D9626F"/>
    <w:rsid w:val="00D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0755"/>
  <w15:chartTrackingRefBased/>
  <w15:docId w15:val="{4BF362CA-AFFA-4304-84AB-3EE3ED1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6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8C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60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60FF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customStyle="1" w:styleId="utilsstyledtypography-sc-1yp2xd1-0">
    <w:name w:val="utils__styledtypography-sc-1yp2xd1-0"/>
    <w:basedOn w:val="Normale"/>
    <w:rsid w:val="008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utilsstyledtypography-sc-1yp2xd1-01">
    <w:name w:val="utils__styledtypography-sc-1yp2xd1-01"/>
    <w:basedOn w:val="Carpredefinitoparagrafo"/>
    <w:rsid w:val="008C60FF"/>
  </w:style>
  <w:style w:type="character" w:customStyle="1" w:styleId="authorstyledauthorname-sc-wzv1n4-6">
    <w:name w:val="authorstyled__authorname-sc-wzv1n4-6"/>
    <w:basedOn w:val="Carpredefinitoparagrafo"/>
    <w:rsid w:val="008C60FF"/>
  </w:style>
  <w:style w:type="character" w:styleId="Collegamentoipertestuale">
    <w:name w:val="Hyperlink"/>
    <w:basedOn w:val="Carpredefinitoparagrafo"/>
    <w:uiPriority w:val="99"/>
    <w:semiHidden/>
    <w:unhideWhenUsed/>
    <w:rsid w:val="008C60FF"/>
    <w:rPr>
      <w:color w:val="0000FF"/>
      <w:u w:val="single"/>
    </w:rPr>
  </w:style>
  <w:style w:type="paragraph" w:customStyle="1" w:styleId="iconblockiconwrapper-sc-9s9evk-3">
    <w:name w:val="iconblock__iconwrapper-sc-9s9evk-3"/>
    <w:basedOn w:val="Normale"/>
    <w:rsid w:val="008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ypographyparagraph-sc-numijp-1">
    <w:name w:val="typography__paragraph-sc-numijp-1"/>
    <w:basedOn w:val="Normale"/>
    <w:rsid w:val="008C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C60FF"/>
    <w:rPr>
      <w:i/>
      <w:iCs/>
    </w:rPr>
  </w:style>
  <w:style w:type="paragraph" w:styleId="Revisione">
    <w:name w:val="Revision"/>
    <w:hidden/>
    <w:uiPriority w:val="99"/>
    <w:semiHidden/>
    <w:rsid w:val="00650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0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6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475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44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3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347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1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38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821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04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daglobal.com/assets/files/New_site_PDFs/A%20Never-Ending%20Stor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mckinsey.com/~/media/mckinsey/industries/private%20equity%20and%20principal%20investors/our%20insights/mckinseys%20private%20markets%20annual%20review/2023/mckinsey-global-private-markets-review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kinsey.com/~/media/mckinsey/industries/private%20equity%20and%20principal%20investors/our%20insights/a%20routinely%20exceptional%20year%20for%20private%20equity/mckinsey-global-private-markets-review-february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Diana Ferla</cp:lastModifiedBy>
  <cp:revision>5</cp:revision>
  <dcterms:created xsi:type="dcterms:W3CDTF">2023-07-25T07:27:00Z</dcterms:created>
  <dcterms:modified xsi:type="dcterms:W3CDTF">2023-07-25T08:33:00Z</dcterms:modified>
</cp:coreProperties>
</file>