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C983" w14:textId="12FB4547" w:rsidR="00712EE1" w:rsidRDefault="007507B0" w:rsidP="002976BF">
      <w:pPr>
        <w:spacing w:after="0" w:line="240" w:lineRule="auto"/>
        <w:contextualSpacing/>
        <w:jc w:val="both"/>
        <w:rPr>
          <w:b/>
          <w:bCs/>
          <w:lang w:val="it-IT"/>
        </w:rPr>
      </w:pPr>
      <w:r w:rsidRPr="000F004B">
        <w:rPr>
          <w:b/>
          <w:bCs/>
          <w:lang w:val="it-IT"/>
        </w:rPr>
        <w:t xml:space="preserve">RBC BlueBay – </w:t>
      </w:r>
      <w:r w:rsidR="00241420">
        <w:rPr>
          <w:b/>
          <w:bCs/>
          <w:lang w:val="it-IT"/>
        </w:rPr>
        <w:t>4</w:t>
      </w:r>
      <w:r w:rsidR="00712EE1" w:rsidRPr="00712EE1">
        <w:rPr>
          <w:b/>
          <w:bCs/>
          <w:lang w:val="it-IT"/>
        </w:rPr>
        <w:t xml:space="preserve"> motivi per preferire </w:t>
      </w:r>
      <w:r w:rsidR="00BD1384">
        <w:rPr>
          <w:b/>
          <w:bCs/>
          <w:lang w:val="it-IT"/>
        </w:rPr>
        <w:t>il</w:t>
      </w:r>
      <w:r w:rsidR="00712EE1" w:rsidRPr="00712EE1">
        <w:rPr>
          <w:b/>
          <w:bCs/>
          <w:lang w:val="it-IT"/>
        </w:rPr>
        <w:t xml:space="preserve"> public high yield al private debt</w:t>
      </w:r>
    </w:p>
    <w:p w14:paraId="31962F0D" w14:textId="67F1AB60" w:rsidR="007507B0" w:rsidRPr="00C92E46" w:rsidRDefault="00EB1F8A" w:rsidP="002976BF">
      <w:pPr>
        <w:spacing w:after="0" w:line="240" w:lineRule="auto"/>
        <w:contextualSpacing/>
        <w:rPr>
          <w:b/>
          <w:bCs/>
          <w:lang w:val="en-US"/>
        </w:rPr>
      </w:pPr>
      <w:r w:rsidRPr="00C92E46">
        <w:rPr>
          <w:b/>
          <w:bCs/>
          <w:lang w:val="en-US"/>
        </w:rPr>
        <w:t xml:space="preserve"> </w:t>
      </w:r>
    </w:p>
    <w:p w14:paraId="036B1D59" w14:textId="25008EF6" w:rsidR="007507B0" w:rsidRPr="007507B0" w:rsidRDefault="007507B0" w:rsidP="002976BF">
      <w:pPr>
        <w:spacing w:after="0" w:line="240" w:lineRule="auto"/>
        <w:contextualSpacing/>
        <w:rPr>
          <w:b/>
          <w:bCs/>
        </w:rPr>
      </w:pPr>
      <w:r w:rsidRPr="00712EE1">
        <w:rPr>
          <w:lang w:val="en-US"/>
        </w:rPr>
        <w:t xml:space="preserve">A cura di </w:t>
      </w:r>
      <w:r w:rsidR="00712EE1" w:rsidRPr="00712EE1">
        <w:rPr>
          <w:b/>
          <w:bCs/>
          <w:lang w:val="en-US"/>
        </w:rPr>
        <w:t>Andrzej Skiba, BlueBay Head of US</w:t>
      </w:r>
      <w:r w:rsidR="00712EE1">
        <w:rPr>
          <w:b/>
          <w:bCs/>
          <w:lang w:val="en-US"/>
        </w:rPr>
        <w:t xml:space="preserve"> </w:t>
      </w:r>
      <w:r w:rsidR="00712EE1" w:rsidRPr="00712EE1">
        <w:rPr>
          <w:b/>
          <w:bCs/>
          <w:lang w:val="en-US"/>
        </w:rPr>
        <w:t>Fixed Income</w:t>
      </w:r>
      <w:r w:rsidR="00712EE1">
        <w:rPr>
          <w:b/>
          <w:bCs/>
          <w:lang w:val="en-US"/>
        </w:rPr>
        <w:t xml:space="preserve">, </w:t>
      </w:r>
      <w:r w:rsidR="00712EE1" w:rsidRPr="00712EE1">
        <w:rPr>
          <w:b/>
          <w:bCs/>
          <w:lang w:val="en-US"/>
        </w:rPr>
        <w:t>RBC BlueBay</w:t>
      </w:r>
    </w:p>
    <w:p w14:paraId="09E27068" w14:textId="77777777" w:rsidR="00CE418B" w:rsidRPr="00712EE1" w:rsidRDefault="00CE418B" w:rsidP="002976BF">
      <w:pPr>
        <w:spacing w:after="0" w:line="240" w:lineRule="auto"/>
        <w:contextualSpacing/>
      </w:pPr>
    </w:p>
    <w:p w14:paraId="1EE85871" w14:textId="5C597A8F" w:rsidR="00712EE1" w:rsidRDefault="00E96D4B" w:rsidP="00E96D4B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L</w:t>
      </w:r>
      <w:r w:rsidR="00712EE1" w:rsidRPr="00712EE1">
        <w:rPr>
          <w:lang w:val="it-IT"/>
        </w:rPr>
        <w:t xml:space="preserve">e </w:t>
      </w:r>
      <w:r w:rsidR="00712EE1" w:rsidRPr="00C92E46">
        <w:rPr>
          <w:b/>
          <w:bCs/>
          <w:lang w:val="it-IT"/>
        </w:rPr>
        <w:t>obbligazioni high yield statunitensi</w:t>
      </w:r>
      <w:r w:rsidR="00712EE1" w:rsidRPr="00712EE1">
        <w:rPr>
          <w:lang w:val="it-IT"/>
        </w:rPr>
        <w:t xml:space="preserve"> rappresentano un'</w:t>
      </w:r>
      <w:r w:rsidR="00712EE1" w:rsidRPr="00C92E46">
        <w:rPr>
          <w:b/>
          <w:bCs/>
          <w:lang w:val="it-IT"/>
        </w:rPr>
        <w:t>alternativa</w:t>
      </w:r>
      <w:r w:rsidR="00712EE1" w:rsidRPr="00712EE1">
        <w:rPr>
          <w:lang w:val="it-IT"/>
        </w:rPr>
        <w:t xml:space="preserve"> </w:t>
      </w:r>
      <w:r w:rsidR="00712EE1" w:rsidRPr="00C92E46">
        <w:rPr>
          <w:b/>
          <w:bCs/>
          <w:lang w:val="it-IT"/>
        </w:rPr>
        <w:t>interessante</w:t>
      </w:r>
      <w:r w:rsidR="00712EE1" w:rsidRPr="00712EE1">
        <w:rPr>
          <w:lang w:val="it-IT"/>
        </w:rPr>
        <w:t xml:space="preserve"> al settore del credito privato</w:t>
      </w:r>
      <w:r>
        <w:rPr>
          <w:lang w:val="it-IT"/>
        </w:rPr>
        <w:t xml:space="preserve"> che, oggi, presenta dei rischi</w:t>
      </w:r>
      <w:r w:rsidR="00712EE1" w:rsidRPr="00712EE1">
        <w:rPr>
          <w:lang w:val="it-IT"/>
        </w:rPr>
        <w:t>.</w:t>
      </w:r>
      <w:r w:rsidR="00C92E46">
        <w:rPr>
          <w:lang w:val="it-IT"/>
        </w:rPr>
        <w:t xml:space="preserve"> </w:t>
      </w:r>
      <w:r>
        <w:rPr>
          <w:lang w:val="it-IT"/>
        </w:rPr>
        <w:t>Alcuni elementi di contesto: s</w:t>
      </w:r>
      <w:r w:rsidR="00712EE1" w:rsidRPr="00712EE1">
        <w:rPr>
          <w:lang w:val="it-IT"/>
        </w:rPr>
        <w:t xml:space="preserve">econdo i dati Preqin, gli asset in gestione nel settore del debito privato si avvicinano a 1,4 miliardi di dollari. Circa un terzo di questi asset si trova nel settore del direct lending, anche se vale la pena notare che, secondo i dati del FMI, negli ultimi anni ben il 50% del capitale raccolto è stato indirizzato verso il direct lending. Il resto dell'universo del debito privato comprende una varietà di strategie, tra cui il debito </w:t>
      </w:r>
      <w:r w:rsidRPr="00E96D4B">
        <w:rPr>
          <w:lang w:val="it-IT"/>
        </w:rPr>
        <w:t>distressed</w:t>
      </w:r>
      <w:r>
        <w:rPr>
          <w:lang w:val="it-IT"/>
        </w:rPr>
        <w:t xml:space="preserve"> </w:t>
      </w:r>
      <w:r w:rsidR="00712EE1" w:rsidRPr="00712EE1">
        <w:rPr>
          <w:lang w:val="it-IT"/>
        </w:rPr>
        <w:t>e le</w:t>
      </w:r>
      <w:r>
        <w:rPr>
          <w:lang w:val="it-IT"/>
        </w:rPr>
        <w:t xml:space="preserve"> s</w:t>
      </w:r>
      <w:r w:rsidRPr="00E96D4B">
        <w:rPr>
          <w:lang w:val="it-IT"/>
        </w:rPr>
        <w:t>pecial</w:t>
      </w:r>
      <w:r>
        <w:rPr>
          <w:lang w:val="it-IT"/>
        </w:rPr>
        <w:t xml:space="preserve"> </w:t>
      </w:r>
      <w:r w:rsidRPr="00E96D4B">
        <w:rPr>
          <w:lang w:val="it-IT"/>
        </w:rPr>
        <w:t>situation</w:t>
      </w:r>
      <w:r w:rsidR="00712EE1" w:rsidRPr="00712EE1">
        <w:rPr>
          <w:lang w:val="it-IT"/>
        </w:rPr>
        <w:t xml:space="preserve">. </w:t>
      </w:r>
    </w:p>
    <w:p w14:paraId="28122D64" w14:textId="77777777" w:rsidR="0009791E" w:rsidRDefault="0009791E" w:rsidP="002976BF">
      <w:pPr>
        <w:spacing w:after="0" w:line="240" w:lineRule="auto"/>
        <w:contextualSpacing/>
        <w:rPr>
          <w:lang w:val="it-IT"/>
        </w:rPr>
      </w:pPr>
    </w:p>
    <w:p w14:paraId="24246783" w14:textId="592405BF" w:rsidR="00712EE1" w:rsidRPr="00712EE1" w:rsidRDefault="003025CB" w:rsidP="002976BF">
      <w:pPr>
        <w:spacing w:after="0" w:line="240" w:lineRule="auto"/>
        <w:contextualSpacing/>
        <w:jc w:val="both"/>
        <w:rPr>
          <w:u w:val="single"/>
          <w:lang w:val="it-IT"/>
        </w:rPr>
      </w:pPr>
      <w:r>
        <w:rPr>
          <w:u w:val="single"/>
          <w:lang w:val="it-IT"/>
        </w:rPr>
        <w:t xml:space="preserve">I </w:t>
      </w:r>
      <w:r w:rsidR="00241420">
        <w:rPr>
          <w:u w:val="single"/>
          <w:lang w:val="it-IT"/>
        </w:rPr>
        <w:t>4</w:t>
      </w:r>
      <w:r w:rsidR="00712EE1" w:rsidRPr="00712EE1">
        <w:rPr>
          <w:u w:val="single"/>
          <w:lang w:val="it-IT"/>
        </w:rPr>
        <w:t xml:space="preserve"> motivi per preferire gli investimenti public high yield al private debt</w:t>
      </w:r>
    </w:p>
    <w:p w14:paraId="5B3BB3A1" w14:textId="6E5BFFB8" w:rsidR="00712EE1" w:rsidRPr="00712EE1" w:rsidRDefault="00712EE1" w:rsidP="002976BF">
      <w:pPr>
        <w:spacing w:after="0" w:line="240" w:lineRule="auto"/>
        <w:contextualSpacing/>
        <w:jc w:val="both"/>
        <w:rPr>
          <w:b/>
          <w:bCs/>
          <w:lang w:val="it-IT"/>
        </w:rPr>
      </w:pPr>
      <w:r w:rsidRPr="00712EE1">
        <w:rPr>
          <w:b/>
          <w:bCs/>
          <w:lang w:val="it-IT"/>
        </w:rPr>
        <w:t>1. Le società che hanno preso in prestito fondi da investitori diretti non hanno avuto accesso ai mercati pubblici per un motivo</w:t>
      </w:r>
    </w:p>
    <w:p w14:paraId="4E9E18D1" w14:textId="55FD4953" w:rsidR="00712EE1" w:rsidRDefault="002976BF" w:rsidP="002976BF">
      <w:pPr>
        <w:spacing w:after="0" w:line="240" w:lineRule="auto"/>
        <w:contextualSpacing/>
        <w:jc w:val="both"/>
        <w:rPr>
          <w:lang w:val="it-IT"/>
        </w:rPr>
      </w:pPr>
      <w:r w:rsidRPr="002976BF">
        <w:rPr>
          <w:lang w:val="it-IT"/>
        </w:rPr>
        <w:t xml:space="preserve">Le aziende che ricorrono ai mercati del </w:t>
      </w:r>
      <w:r w:rsidR="003025CB">
        <w:rPr>
          <w:lang w:val="it-IT"/>
        </w:rPr>
        <w:t>private debt</w:t>
      </w:r>
      <w:r w:rsidRPr="002976BF">
        <w:rPr>
          <w:lang w:val="it-IT"/>
        </w:rPr>
        <w:t xml:space="preserve"> per raccogliere fondi tendono a essere piccole. Lo standard in questo settore era un massimo di 1 miliardo di dollari di fatturato e un EBITDA inferiore a 100 milioni di dollari. Le aziende di queste dimensioni tendono a essere considerate piccole, prive di diversificazione e, di norma, più vulnerabili a una recessione economica. C'è un motivo per cui i mercati pubblici si rifiutano di concedere prestiti a queste aziende.</w:t>
      </w:r>
    </w:p>
    <w:p w14:paraId="483BB9EE" w14:textId="77777777" w:rsidR="00C92E46" w:rsidRDefault="00C92E46" w:rsidP="002976BF">
      <w:pPr>
        <w:spacing w:after="0" w:line="240" w:lineRule="auto"/>
        <w:contextualSpacing/>
        <w:jc w:val="both"/>
        <w:rPr>
          <w:lang w:val="it-IT"/>
        </w:rPr>
      </w:pPr>
    </w:p>
    <w:p w14:paraId="61196CAC" w14:textId="32438BB7" w:rsidR="002976BF" w:rsidRDefault="002976BF" w:rsidP="002976BF">
      <w:pPr>
        <w:spacing w:after="0" w:line="240" w:lineRule="auto"/>
        <w:contextualSpacing/>
        <w:jc w:val="both"/>
        <w:rPr>
          <w:lang w:val="it-IT"/>
        </w:rPr>
      </w:pPr>
      <w:r w:rsidRPr="002976BF">
        <w:rPr>
          <w:lang w:val="it-IT"/>
        </w:rPr>
        <w:t xml:space="preserve">Con una recessione all'orizzonte, nessuna delle vulnerabilità mostrate da queste società è scomparsa e </w:t>
      </w:r>
      <w:r w:rsidRPr="00C92E46">
        <w:rPr>
          <w:b/>
          <w:bCs/>
          <w:lang w:val="it-IT"/>
        </w:rPr>
        <w:t>non c'è alcuna logica nel prefer</w:t>
      </w:r>
      <w:r w:rsidR="003025CB" w:rsidRPr="00C92E46">
        <w:rPr>
          <w:b/>
          <w:bCs/>
          <w:lang w:val="it-IT"/>
        </w:rPr>
        <w:t>ire</w:t>
      </w:r>
      <w:r w:rsidRPr="00C92E46">
        <w:rPr>
          <w:b/>
          <w:bCs/>
          <w:lang w:val="it-IT"/>
        </w:rPr>
        <w:t xml:space="preserve"> queste aziende a scapito di emittenti pubblici high yield più grandi e diversificati che dispongono di una serie di leve per proteggere il proprio bilancio</w:t>
      </w:r>
      <w:r w:rsidRPr="002976BF">
        <w:rPr>
          <w:lang w:val="it-IT"/>
        </w:rPr>
        <w:t xml:space="preserve"> in tempi di incertezza economica.</w:t>
      </w:r>
    </w:p>
    <w:p w14:paraId="6825B263" w14:textId="77777777" w:rsidR="0009791E" w:rsidRDefault="0009791E" w:rsidP="002976BF">
      <w:pPr>
        <w:spacing w:after="0" w:line="240" w:lineRule="auto"/>
        <w:contextualSpacing/>
        <w:jc w:val="both"/>
        <w:rPr>
          <w:lang w:val="it-IT"/>
        </w:rPr>
      </w:pPr>
    </w:p>
    <w:p w14:paraId="68BE789A" w14:textId="20DF2314" w:rsidR="002976BF" w:rsidRPr="002976BF" w:rsidRDefault="002976BF" w:rsidP="002976BF">
      <w:pPr>
        <w:spacing w:after="0" w:line="240" w:lineRule="auto"/>
        <w:contextualSpacing/>
        <w:jc w:val="both"/>
        <w:rPr>
          <w:b/>
          <w:bCs/>
          <w:lang w:val="it-IT"/>
        </w:rPr>
      </w:pPr>
      <w:r w:rsidRPr="002976BF">
        <w:rPr>
          <w:b/>
          <w:bCs/>
          <w:lang w:val="it-IT"/>
        </w:rPr>
        <w:t>2. I costi di finanziamento sono paralizzanti per le società con portafoglio di debito privato, e non lasciano alcun flusso di cassa per ridurre la leva finanziaria</w:t>
      </w:r>
    </w:p>
    <w:p w14:paraId="6FC233A1" w14:textId="6453B642" w:rsidR="002976BF" w:rsidRDefault="002976BF" w:rsidP="002976BF">
      <w:pPr>
        <w:spacing w:after="0" w:line="240" w:lineRule="auto"/>
        <w:contextualSpacing/>
        <w:jc w:val="both"/>
        <w:rPr>
          <w:lang w:val="it-IT"/>
        </w:rPr>
      </w:pPr>
      <w:r w:rsidRPr="002976BF">
        <w:rPr>
          <w:lang w:val="it-IT"/>
        </w:rPr>
        <w:t xml:space="preserve">Il drammatico aumento dei tassi d'interesse negli Stati Uniti ha avuto un impatto sproporzionatamente negativo per i mutuatari del credito privato che accedono al mercato a tasso variabile. La maggior parte dei mutuatari sta pagando oltre il 10% annuo di costi di finanziamento. Inoltre, è improbabile che questa situazione cambi </w:t>
      </w:r>
      <w:r w:rsidR="003025CB">
        <w:rPr>
          <w:lang w:val="it-IT"/>
        </w:rPr>
        <w:t>nel breve periodo</w:t>
      </w:r>
      <w:r w:rsidRPr="002976BF">
        <w:rPr>
          <w:lang w:val="it-IT"/>
        </w:rPr>
        <w:t xml:space="preserve">, poiché la Fed è determinata a mantenere i tassi a livelli elevati per contenere le pressioni inflazionistiche. Ciò significa che </w:t>
      </w:r>
      <w:r w:rsidRPr="00C92E46">
        <w:rPr>
          <w:b/>
          <w:bCs/>
          <w:lang w:val="it-IT"/>
        </w:rPr>
        <w:t>le aziende si trovano ad affrontare la prospettiva di una generazione di flussi di cassa compromessa dal significativo aumento dei costi di interesse</w:t>
      </w:r>
      <w:r w:rsidRPr="002976BF">
        <w:rPr>
          <w:lang w:val="it-IT"/>
        </w:rPr>
        <w:t>. Di conseguenza, quanto più ci si avvicina alla scadenza del debito, tanto maggiore è il rischio associato a una struttura di capitale con una leva finanziaria eccessiva e senza generazione di flussi di cassa in vista.</w:t>
      </w:r>
    </w:p>
    <w:p w14:paraId="25396385" w14:textId="77777777" w:rsidR="00C92E46" w:rsidRDefault="00C92E46" w:rsidP="002976BF">
      <w:pPr>
        <w:spacing w:after="0" w:line="240" w:lineRule="auto"/>
        <w:contextualSpacing/>
        <w:jc w:val="both"/>
        <w:rPr>
          <w:lang w:val="it-IT"/>
        </w:rPr>
      </w:pPr>
    </w:p>
    <w:p w14:paraId="56A52A42" w14:textId="1479FC56" w:rsidR="008A3BB0" w:rsidRDefault="008A3BB0" w:rsidP="002976BF">
      <w:pPr>
        <w:spacing w:after="0" w:line="240" w:lineRule="auto"/>
        <w:contextualSpacing/>
        <w:jc w:val="both"/>
        <w:rPr>
          <w:lang w:val="it-IT"/>
        </w:rPr>
      </w:pPr>
      <w:r w:rsidRPr="00C92E46">
        <w:rPr>
          <w:b/>
          <w:bCs/>
          <w:lang w:val="it-IT"/>
        </w:rPr>
        <w:t>Il costo medio di finanziamento degli H</w:t>
      </w:r>
      <w:r w:rsidR="00CF4D87">
        <w:rPr>
          <w:b/>
          <w:bCs/>
          <w:lang w:val="it-IT"/>
        </w:rPr>
        <w:t xml:space="preserve">igh </w:t>
      </w:r>
      <w:r w:rsidRPr="00C92E46">
        <w:rPr>
          <w:b/>
          <w:bCs/>
          <w:lang w:val="it-IT"/>
        </w:rPr>
        <w:t>Y</w:t>
      </w:r>
      <w:r w:rsidR="00CF4D87">
        <w:rPr>
          <w:b/>
          <w:bCs/>
          <w:lang w:val="it-IT"/>
        </w:rPr>
        <w:t>ield</w:t>
      </w:r>
      <w:r w:rsidRPr="00C92E46">
        <w:rPr>
          <w:b/>
          <w:bCs/>
          <w:lang w:val="it-IT"/>
        </w:rPr>
        <w:t xml:space="preserve"> statunitensi è inferiore al 6%, con gli emittenti che sono riusciti a rifinanziare e a estinguere le obbligazioni quando i tassi erano bassi nell'era post-Covid</w:t>
      </w:r>
      <w:r w:rsidRPr="008A3BB0">
        <w:rPr>
          <w:lang w:val="it-IT"/>
        </w:rPr>
        <w:t>. Ciò ha contribuito a far calare drasticamente l'offerta di nuove emissioni negli ultimi 18 mesi e non si intravedono prospettive immediate di un rialzo sostanziale delle cedole medie, dato che i volumi delle nuove emissioni dovrebbero rimanere contenuti anche nel prossimo anno.</w:t>
      </w:r>
    </w:p>
    <w:p w14:paraId="2425505C" w14:textId="77777777" w:rsidR="008A3BB0" w:rsidRDefault="008A3BB0" w:rsidP="002976BF">
      <w:pPr>
        <w:spacing w:after="0" w:line="240" w:lineRule="auto"/>
        <w:contextualSpacing/>
        <w:jc w:val="both"/>
        <w:rPr>
          <w:lang w:val="it-IT"/>
        </w:rPr>
      </w:pPr>
    </w:p>
    <w:p w14:paraId="5526C206" w14:textId="4BD39A94" w:rsidR="002976BF" w:rsidRPr="002976BF" w:rsidRDefault="002976BF" w:rsidP="002976BF">
      <w:pPr>
        <w:spacing w:after="0" w:line="240" w:lineRule="auto"/>
        <w:contextualSpacing/>
        <w:rPr>
          <w:b/>
          <w:bCs/>
          <w:lang w:val="it-IT"/>
        </w:rPr>
      </w:pPr>
      <w:r w:rsidRPr="002976BF">
        <w:rPr>
          <w:b/>
          <w:bCs/>
          <w:lang w:val="it-IT"/>
        </w:rPr>
        <w:t>3. Il picco di insolvenza nel settore del debito privato potrebbe superare il 10%, mentre l'H</w:t>
      </w:r>
      <w:r w:rsidR="00E108FB">
        <w:rPr>
          <w:b/>
          <w:bCs/>
          <w:lang w:val="it-IT"/>
        </w:rPr>
        <w:t xml:space="preserve">igh </w:t>
      </w:r>
      <w:r w:rsidRPr="002976BF">
        <w:rPr>
          <w:b/>
          <w:bCs/>
          <w:lang w:val="it-IT"/>
        </w:rPr>
        <w:t>Y</w:t>
      </w:r>
      <w:r w:rsidR="00E108FB">
        <w:rPr>
          <w:b/>
          <w:bCs/>
          <w:lang w:val="it-IT"/>
        </w:rPr>
        <w:t>ield</w:t>
      </w:r>
      <w:r w:rsidRPr="002976BF">
        <w:rPr>
          <w:b/>
          <w:bCs/>
          <w:lang w:val="it-IT"/>
        </w:rPr>
        <w:t xml:space="preserve"> statunitense potrebbe subirne solo la metà.</w:t>
      </w:r>
    </w:p>
    <w:p w14:paraId="6C4D149E" w14:textId="491FC9A5" w:rsidR="002976BF" w:rsidRPr="002976BF" w:rsidRDefault="002976BF" w:rsidP="002976BF">
      <w:pPr>
        <w:spacing w:after="0" w:line="240" w:lineRule="auto"/>
        <w:contextualSpacing/>
        <w:jc w:val="both"/>
        <w:rPr>
          <w:lang w:val="it-IT"/>
        </w:rPr>
      </w:pPr>
      <w:r w:rsidRPr="002976BF">
        <w:rPr>
          <w:lang w:val="it-IT"/>
        </w:rPr>
        <w:t>Le aspettative tradizionali per un ciclo di insolvenza H</w:t>
      </w:r>
      <w:r w:rsidR="00E108FB">
        <w:rPr>
          <w:lang w:val="it-IT"/>
        </w:rPr>
        <w:t xml:space="preserve">igh </w:t>
      </w:r>
      <w:r w:rsidRPr="002976BF">
        <w:rPr>
          <w:lang w:val="it-IT"/>
        </w:rPr>
        <w:t>Y</w:t>
      </w:r>
      <w:r w:rsidR="00E108FB">
        <w:rPr>
          <w:lang w:val="it-IT"/>
        </w:rPr>
        <w:t>ield</w:t>
      </w:r>
      <w:r w:rsidRPr="002976BF">
        <w:rPr>
          <w:lang w:val="it-IT"/>
        </w:rPr>
        <w:t xml:space="preserve"> prevedono</w:t>
      </w:r>
      <w:r w:rsidR="0009791E">
        <w:rPr>
          <w:lang w:val="it-IT"/>
        </w:rPr>
        <w:t xml:space="preserve"> </w:t>
      </w:r>
      <w:r w:rsidRPr="002976BF">
        <w:rPr>
          <w:lang w:val="it-IT"/>
        </w:rPr>
        <w:t>un tasso di default superiore al 10% in caso di recessione. Se si considera</w:t>
      </w:r>
      <w:r w:rsidR="0009791E">
        <w:rPr>
          <w:lang w:val="it-IT"/>
        </w:rPr>
        <w:t xml:space="preserve"> </w:t>
      </w:r>
      <w:r w:rsidRPr="002976BF">
        <w:rPr>
          <w:lang w:val="it-IT"/>
        </w:rPr>
        <w:t>la limitata generazione di flussi di cassa e la flessibilità finanziaria dei mutuatari del mercato medio, combinate con la dipendenza da (in molti casi) un solo finanziatore per il salvataggio, un'aspettativa di inadempienze superiori al 10% è ben fondata. Molte</w:t>
      </w:r>
      <w:r w:rsidR="0009791E">
        <w:rPr>
          <w:lang w:val="it-IT"/>
        </w:rPr>
        <w:t xml:space="preserve"> </w:t>
      </w:r>
      <w:r w:rsidRPr="002976BF">
        <w:rPr>
          <w:lang w:val="it-IT"/>
        </w:rPr>
        <w:lastRenderedPageBreak/>
        <w:t>delle transazioni strutturate in questo spazio sono prestiti unitranche, senza titoli che assorbono le perdite al di sotto del prestito di debito privato nella struttura del capitale.</w:t>
      </w:r>
    </w:p>
    <w:p w14:paraId="4ACC4773" w14:textId="77777777" w:rsidR="0009791E" w:rsidRDefault="0009791E" w:rsidP="002976BF">
      <w:pPr>
        <w:spacing w:after="0" w:line="240" w:lineRule="auto"/>
        <w:contextualSpacing/>
        <w:jc w:val="both"/>
        <w:rPr>
          <w:lang w:val="it-IT"/>
        </w:rPr>
      </w:pPr>
    </w:p>
    <w:p w14:paraId="4B229E49" w14:textId="1D07AEDE" w:rsidR="002976BF" w:rsidRDefault="002976BF" w:rsidP="002976BF">
      <w:pPr>
        <w:spacing w:after="0" w:line="240" w:lineRule="auto"/>
        <w:contextualSpacing/>
        <w:jc w:val="both"/>
        <w:rPr>
          <w:lang w:val="it-IT"/>
        </w:rPr>
      </w:pPr>
      <w:r w:rsidRPr="002976BF">
        <w:rPr>
          <w:lang w:val="it-IT"/>
        </w:rPr>
        <w:t xml:space="preserve">Di conseguenza, </w:t>
      </w:r>
      <w:r w:rsidRPr="00E108FB">
        <w:rPr>
          <w:b/>
          <w:bCs/>
          <w:lang w:val="it-IT"/>
        </w:rPr>
        <w:t>le aspettative di recupero per questi investimenti sono probabilmente inferiori rispetto agli investimenti in tranche garantite sul mercato pubblico.</w:t>
      </w:r>
      <w:r w:rsidRPr="002976BF">
        <w:rPr>
          <w:lang w:val="it-IT"/>
        </w:rPr>
        <w:t xml:space="preserve"> A conferma di questo punto di vista, nell'attuale ciclo stiamo già assistendo a insolvenze di leveraged loan ben superiori a quelle di obbligazioni high yield, e i mutuatari del credito privato dovrebbero andare peggio dei loro omologhi del mercato pubblico dei leveraged loan.</w:t>
      </w:r>
    </w:p>
    <w:p w14:paraId="72C36F27" w14:textId="77777777" w:rsidR="0009791E" w:rsidRDefault="0009791E" w:rsidP="002976BF">
      <w:pPr>
        <w:spacing w:after="0" w:line="240" w:lineRule="auto"/>
        <w:contextualSpacing/>
        <w:jc w:val="both"/>
        <w:rPr>
          <w:lang w:val="it-IT"/>
        </w:rPr>
      </w:pPr>
    </w:p>
    <w:p w14:paraId="4834052B" w14:textId="5B4351B9" w:rsidR="002976BF" w:rsidRDefault="002976BF" w:rsidP="002976BF">
      <w:pPr>
        <w:spacing w:after="0" w:line="240" w:lineRule="auto"/>
        <w:contextualSpacing/>
        <w:jc w:val="both"/>
        <w:rPr>
          <w:lang w:val="it-IT"/>
        </w:rPr>
      </w:pPr>
      <w:r w:rsidRPr="002976BF">
        <w:rPr>
          <w:lang w:val="it-IT"/>
        </w:rPr>
        <w:t xml:space="preserve">Al contrario, </w:t>
      </w:r>
      <w:r w:rsidRPr="00C92E46">
        <w:rPr>
          <w:b/>
          <w:bCs/>
          <w:lang w:val="it-IT"/>
        </w:rPr>
        <w:t>ci aspettiamo che le insolvenze dei titoli high yield siano significativamente inferiori rispetto alle recessioni passate.</w:t>
      </w:r>
      <w:r w:rsidRPr="002976BF">
        <w:rPr>
          <w:lang w:val="it-IT"/>
        </w:rPr>
        <w:t xml:space="preserve"> Ciò è dovuto ad alcune ragioni particolari. In primo luogo, </w:t>
      </w:r>
      <w:r w:rsidRPr="00C92E46">
        <w:rPr>
          <w:b/>
          <w:bCs/>
          <w:lang w:val="it-IT"/>
        </w:rPr>
        <w:t>il portafoglio di scadenze delle obbligazioni H</w:t>
      </w:r>
      <w:r w:rsidR="00CF4D87">
        <w:rPr>
          <w:b/>
          <w:bCs/>
          <w:lang w:val="it-IT"/>
        </w:rPr>
        <w:t>igh Yield</w:t>
      </w:r>
      <w:r w:rsidRPr="00C92E46">
        <w:rPr>
          <w:b/>
          <w:bCs/>
          <w:lang w:val="it-IT"/>
        </w:rPr>
        <w:t xml:space="preserve"> statunitensi è molto ridotto rispetto agli standard storici.</w:t>
      </w:r>
      <w:r w:rsidRPr="002976BF">
        <w:rPr>
          <w:lang w:val="it-IT"/>
        </w:rPr>
        <w:t xml:space="preserve"> Meno di 20 miliardi rimangono per quest'anno e i circa 50 miliardi di dollari nel 2024 rappresentano una piccola frazione dell'asset class </w:t>
      </w:r>
      <w:r w:rsidR="00CF4D87">
        <w:rPr>
          <w:lang w:val="it-IT"/>
        </w:rPr>
        <w:t xml:space="preserve">ad alto rendimento </w:t>
      </w:r>
      <w:r w:rsidRPr="002976BF">
        <w:rPr>
          <w:lang w:val="it-IT"/>
        </w:rPr>
        <w:t>statunitense da 1,4 miliardi di dollari.</w:t>
      </w:r>
      <w:r w:rsidR="00E108FB">
        <w:rPr>
          <w:lang w:val="it-IT"/>
        </w:rPr>
        <w:t xml:space="preserve"> </w:t>
      </w:r>
      <w:r w:rsidRPr="002976BF">
        <w:rPr>
          <w:lang w:val="it-IT"/>
        </w:rPr>
        <w:t xml:space="preserve">In sostanza, </w:t>
      </w:r>
      <w:r w:rsidRPr="00C92E46">
        <w:rPr>
          <w:b/>
          <w:bCs/>
          <w:lang w:val="it-IT"/>
        </w:rPr>
        <w:t>c'è ben poco su cui fare default nei prossimi trimestri.</w:t>
      </w:r>
      <w:r w:rsidRPr="002976BF">
        <w:rPr>
          <w:lang w:val="it-IT"/>
        </w:rPr>
        <w:t xml:space="preserve"> In secondo luogo, la leva finanziaria </w:t>
      </w:r>
      <w:r w:rsidR="00CF4D87">
        <w:rPr>
          <w:lang w:val="it-IT"/>
        </w:rPr>
        <w:t>degli High Yield</w:t>
      </w:r>
      <w:r w:rsidRPr="002976BF">
        <w:rPr>
          <w:lang w:val="it-IT"/>
        </w:rPr>
        <w:t xml:space="preserve"> statunitensi è inferiore a 4x, il livello più basso dai tempi della crisi finanziaria.</w:t>
      </w:r>
    </w:p>
    <w:p w14:paraId="29392C3B" w14:textId="77777777" w:rsidR="00E108FB" w:rsidRPr="002976BF" w:rsidRDefault="00E108FB" w:rsidP="002976BF">
      <w:pPr>
        <w:spacing w:after="0" w:line="240" w:lineRule="auto"/>
        <w:contextualSpacing/>
        <w:jc w:val="both"/>
        <w:rPr>
          <w:lang w:val="it-IT"/>
        </w:rPr>
      </w:pPr>
    </w:p>
    <w:p w14:paraId="0EB72EF9" w14:textId="6497F553" w:rsidR="002976BF" w:rsidRDefault="002976BF" w:rsidP="002976BF">
      <w:pPr>
        <w:spacing w:after="0" w:line="240" w:lineRule="auto"/>
        <w:contextualSpacing/>
        <w:jc w:val="both"/>
        <w:rPr>
          <w:lang w:val="it-IT"/>
        </w:rPr>
      </w:pPr>
      <w:r w:rsidRPr="002976BF">
        <w:rPr>
          <w:lang w:val="it-IT"/>
        </w:rPr>
        <w:t xml:space="preserve">Ciò è </w:t>
      </w:r>
      <w:r w:rsidRPr="00C92E46">
        <w:rPr>
          <w:b/>
          <w:bCs/>
          <w:lang w:val="it-IT"/>
        </w:rPr>
        <w:t>in netto contrasto con il settore dei prestiti diretti</w:t>
      </w:r>
      <w:r w:rsidRPr="002976BF">
        <w:rPr>
          <w:lang w:val="it-IT"/>
        </w:rPr>
        <w:t>, dove la leva finanziaria totale (esclusi gli addback) è in media superiore a 6x. Infine, molte società con modelli di business in crisi, per le quali gli investitori si aspettavano un'insolvenza, sono già andate in default nel 2020.</w:t>
      </w:r>
    </w:p>
    <w:p w14:paraId="2B8A59EC" w14:textId="77777777" w:rsidR="0009791E" w:rsidRPr="002976BF" w:rsidRDefault="0009791E" w:rsidP="002976BF">
      <w:pPr>
        <w:spacing w:after="0" w:line="240" w:lineRule="auto"/>
        <w:contextualSpacing/>
        <w:jc w:val="both"/>
        <w:rPr>
          <w:lang w:val="it-IT"/>
        </w:rPr>
      </w:pPr>
    </w:p>
    <w:p w14:paraId="36A343A5" w14:textId="4626B959" w:rsidR="002976BF" w:rsidRPr="002976BF" w:rsidRDefault="002976BF" w:rsidP="002976BF">
      <w:pPr>
        <w:spacing w:after="0" w:line="240" w:lineRule="auto"/>
        <w:contextualSpacing/>
        <w:jc w:val="both"/>
        <w:rPr>
          <w:b/>
          <w:bCs/>
          <w:lang w:val="it-IT"/>
        </w:rPr>
      </w:pPr>
      <w:r w:rsidRPr="002976BF">
        <w:rPr>
          <w:b/>
          <w:bCs/>
          <w:lang w:val="it-IT"/>
        </w:rPr>
        <w:t>4. Molte delle qualità che rendevano attraente lo spazio del debito privato si sono deteriorate negli ultimi tempi.</w:t>
      </w:r>
    </w:p>
    <w:p w14:paraId="55FBA872" w14:textId="01E502AF" w:rsidR="0009791E" w:rsidRDefault="002976BF" w:rsidP="002976BF">
      <w:pPr>
        <w:spacing w:after="0" w:line="240" w:lineRule="auto"/>
        <w:contextualSpacing/>
        <w:rPr>
          <w:lang w:val="it-IT"/>
        </w:rPr>
      </w:pPr>
      <w:r w:rsidRPr="002976BF">
        <w:rPr>
          <w:lang w:val="it-IT"/>
        </w:rPr>
        <w:t xml:space="preserve">Un tempo gli investitori in debito privato ottenevano pacchetti di covenant molto migliori, che garantivano un'ottima protezione dei creditori. </w:t>
      </w:r>
      <w:r w:rsidR="00241420">
        <w:rPr>
          <w:lang w:val="it-IT"/>
        </w:rPr>
        <w:t>Q</w:t>
      </w:r>
      <w:r w:rsidRPr="002976BF">
        <w:rPr>
          <w:lang w:val="it-IT"/>
        </w:rPr>
        <w:t xml:space="preserve">uesti pacchetti si sono indeboliti in modo sostanziale negli ultimi anni, poiché </w:t>
      </w:r>
      <w:r w:rsidRPr="00C92E46">
        <w:rPr>
          <w:b/>
          <w:bCs/>
          <w:lang w:val="it-IT"/>
        </w:rPr>
        <w:t>l'afflusso di denaro nel credito privato ha portato a un indebolimento degli standard di sottoscrizione</w:t>
      </w:r>
      <w:r w:rsidRPr="002976BF">
        <w:rPr>
          <w:lang w:val="it-IT"/>
        </w:rPr>
        <w:t>.</w:t>
      </w:r>
      <w:r w:rsidR="00241420">
        <w:rPr>
          <w:lang w:val="it-IT"/>
        </w:rPr>
        <w:t xml:space="preserve"> </w:t>
      </w:r>
      <w:r w:rsidRPr="00C92E46">
        <w:rPr>
          <w:b/>
          <w:bCs/>
          <w:lang w:val="it-IT"/>
        </w:rPr>
        <w:t>Un altro vantaggio dell'investimento nel credito privato è legato al significativo aumento degli spread rispetto allo spazio dei prestiti a leva</w:t>
      </w:r>
      <w:r w:rsidRPr="002976BF">
        <w:rPr>
          <w:lang w:val="it-IT"/>
        </w:rPr>
        <w:t>. Cinque anni fa, si poteva facilmente ottenere un compenso extra di 300 pb. Questo vantaggio di remunerazione è diminuito notevolmente negli ultimi anni, poiché la concorrenza per le attività ha portato a prezzi superiori di soli 100-150 pb rispetto ai livelli dei prestiti a leva e, in alcuni casi, sono alla pari.</w:t>
      </w:r>
    </w:p>
    <w:p w14:paraId="0256ECD7" w14:textId="77777777" w:rsidR="00C92E46" w:rsidRDefault="00C92E46" w:rsidP="002976BF">
      <w:pPr>
        <w:spacing w:after="0" w:line="240" w:lineRule="auto"/>
        <w:contextualSpacing/>
        <w:rPr>
          <w:lang w:val="it-IT"/>
        </w:rPr>
      </w:pPr>
    </w:p>
    <w:p w14:paraId="065D704A" w14:textId="4E2D7DF0" w:rsidR="002976BF" w:rsidRPr="00C92E46" w:rsidRDefault="002976BF" w:rsidP="002976BF">
      <w:pPr>
        <w:spacing w:after="0" w:line="240" w:lineRule="auto"/>
        <w:contextualSpacing/>
        <w:rPr>
          <w:b/>
          <w:bCs/>
          <w:lang w:val="it-IT"/>
        </w:rPr>
      </w:pPr>
      <w:r w:rsidRPr="002976BF">
        <w:rPr>
          <w:lang w:val="it-IT"/>
        </w:rPr>
        <w:t xml:space="preserve">Se si fa un confronto con lo spazio HY statunitense, i cui rendimenti si aggirano intorno al 9%, la leva finanziaria è nettamente inferiore e il rating creditizio medio è B+. Inoltre, </w:t>
      </w:r>
      <w:r w:rsidRPr="00C92E46">
        <w:rPr>
          <w:b/>
          <w:bCs/>
          <w:lang w:val="it-IT"/>
        </w:rPr>
        <w:t xml:space="preserve">è possibile effettuare operazioni di trading in entrata e in uscita dalla </w:t>
      </w:r>
      <w:r w:rsidR="00042BD5" w:rsidRPr="00C92E46">
        <w:rPr>
          <w:b/>
          <w:bCs/>
          <w:lang w:val="it-IT"/>
        </w:rPr>
        <w:t xml:space="preserve">asset </w:t>
      </w:r>
      <w:r w:rsidRPr="00C92E46">
        <w:rPr>
          <w:b/>
          <w:bCs/>
          <w:lang w:val="it-IT"/>
        </w:rPr>
        <w:t>class, anziché rimanere intrappolati in investimenti altamente illiquidi</w:t>
      </w:r>
      <w:r w:rsidRPr="002976BF">
        <w:rPr>
          <w:lang w:val="it-IT"/>
        </w:rPr>
        <w:t xml:space="preserve">. Sebbene si possa assistere alla volatilità del mark to market, si beneficia della trasparenza dei prezzi. Al contrario, gli investitori in fondi di direct lending si cullano nell'autocompiacimento, poiché </w:t>
      </w:r>
      <w:r w:rsidRPr="00C92E46">
        <w:rPr>
          <w:b/>
          <w:bCs/>
          <w:lang w:val="it-IT"/>
        </w:rPr>
        <w:t>i prestatori raramente svalutano i prestiti fino a quando non sono già considerati in sofferenza</w:t>
      </w:r>
      <w:r w:rsidRPr="002976BF">
        <w:rPr>
          <w:lang w:val="it-IT"/>
        </w:rPr>
        <w:t xml:space="preserve">. Infine, </w:t>
      </w:r>
      <w:r w:rsidR="00042BD5" w:rsidRPr="00C92E46">
        <w:rPr>
          <w:b/>
          <w:bCs/>
          <w:lang w:val="it-IT"/>
        </w:rPr>
        <w:t xml:space="preserve">si può disporre </w:t>
      </w:r>
      <w:r w:rsidRPr="00C92E46">
        <w:rPr>
          <w:b/>
          <w:bCs/>
          <w:lang w:val="it-IT"/>
        </w:rPr>
        <w:t>di un pool di investitori molto più ampio</w:t>
      </w:r>
      <w:r w:rsidRPr="002976BF">
        <w:rPr>
          <w:lang w:val="it-IT"/>
        </w:rPr>
        <w:t xml:space="preserve"> su cui fare affidamento se un emittente si trova in difficoltà, </w:t>
      </w:r>
      <w:r w:rsidRPr="00C92E46">
        <w:rPr>
          <w:b/>
          <w:bCs/>
          <w:lang w:val="it-IT"/>
        </w:rPr>
        <w:t>cosa che potrebbe fare una grande differenza in caso di recessione.</w:t>
      </w:r>
    </w:p>
    <w:p w14:paraId="3A783064" w14:textId="77777777" w:rsidR="002976BF" w:rsidRPr="002976BF" w:rsidRDefault="002976BF" w:rsidP="002976BF">
      <w:pPr>
        <w:spacing w:after="0" w:line="240" w:lineRule="auto"/>
        <w:contextualSpacing/>
        <w:jc w:val="both"/>
        <w:rPr>
          <w:lang w:val="it-IT"/>
        </w:rPr>
      </w:pPr>
    </w:p>
    <w:sectPr w:rsidR="002976BF" w:rsidRPr="00297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C76F" w14:textId="77777777" w:rsidR="00AB717A" w:rsidRDefault="00AB717A" w:rsidP="00AB717A">
      <w:pPr>
        <w:spacing w:after="0" w:line="240" w:lineRule="auto"/>
      </w:pPr>
      <w:r>
        <w:separator/>
      </w:r>
    </w:p>
  </w:endnote>
  <w:endnote w:type="continuationSeparator" w:id="0">
    <w:p w14:paraId="63D7F914" w14:textId="77777777" w:rsidR="00AB717A" w:rsidRDefault="00AB717A" w:rsidP="00AB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BD9E" w14:textId="77777777" w:rsidR="00AB717A" w:rsidRDefault="00AB717A" w:rsidP="00AB717A">
      <w:pPr>
        <w:spacing w:after="0" w:line="240" w:lineRule="auto"/>
      </w:pPr>
      <w:r>
        <w:separator/>
      </w:r>
    </w:p>
  </w:footnote>
  <w:footnote w:type="continuationSeparator" w:id="0">
    <w:p w14:paraId="73D32D24" w14:textId="77777777" w:rsidR="00AB717A" w:rsidRDefault="00AB717A" w:rsidP="00AB7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7A"/>
    <w:rsid w:val="0004111C"/>
    <w:rsid w:val="00042BD5"/>
    <w:rsid w:val="0009791E"/>
    <w:rsid w:val="000F004B"/>
    <w:rsid w:val="00233B37"/>
    <w:rsid w:val="00241420"/>
    <w:rsid w:val="002453FD"/>
    <w:rsid w:val="002976BF"/>
    <w:rsid w:val="002A0EB4"/>
    <w:rsid w:val="002B16DF"/>
    <w:rsid w:val="002E1451"/>
    <w:rsid w:val="003025CB"/>
    <w:rsid w:val="00306953"/>
    <w:rsid w:val="00311801"/>
    <w:rsid w:val="00370746"/>
    <w:rsid w:val="003F62F4"/>
    <w:rsid w:val="00443231"/>
    <w:rsid w:val="00500085"/>
    <w:rsid w:val="0055794A"/>
    <w:rsid w:val="005D24DD"/>
    <w:rsid w:val="005D35A2"/>
    <w:rsid w:val="006076E1"/>
    <w:rsid w:val="006F2B8D"/>
    <w:rsid w:val="00712EE1"/>
    <w:rsid w:val="007507B0"/>
    <w:rsid w:val="00762EA8"/>
    <w:rsid w:val="007B5CE9"/>
    <w:rsid w:val="007F19C3"/>
    <w:rsid w:val="00867573"/>
    <w:rsid w:val="008A0086"/>
    <w:rsid w:val="008A3BB0"/>
    <w:rsid w:val="00A14A15"/>
    <w:rsid w:val="00A61AFA"/>
    <w:rsid w:val="00A84F71"/>
    <w:rsid w:val="00AB717A"/>
    <w:rsid w:val="00BD1384"/>
    <w:rsid w:val="00C92E46"/>
    <w:rsid w:val="00CC08C5"/>
    <w:rsid w:val="00CD65D7"/>
    <w:rsid w:val="00CE418B"/>
    <w:rsid w:val="00CF4D87"/>
    <w:rsid w:val="00E00B3B"/>
    <w:rsid w:val="00E108FB"/>
    <w:rsid w:val="00E6034D"/>
    <w:rsid w:val="00E96D4B"/>
    <w:rsid w:val="00EA1FB4"/>
    <w:rsid w:val="00EB1F8A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542BE"/>
  <w15:chartTrackingRefBased/>
  <w15:docId w15:val="{701C41F2-7CA4-4C6E-8FA5-04E7AA29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CC08C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84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4F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4F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4F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4F7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11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801"/>
  </w:style>
  <w:style w:type="paragraph" w:styleId="Pidipagina">
    <w:name w:val="footer"/>
    <w:basedOn w:val="Normale"/>
    <w:link w:val="PidipaginaCarattere"/>
    <w:uiPriority w:val="99"/>
    <w:unhideWhenUsed/>
    <w:rsid w:val="00311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Knowles</dc:creator>
  <cp:keywords/>
  <dc:description/>
  <cp:lastModifiedBy>Diana Ferla</cp:lastModifiedBy>
  <cp:revision>36</cp:revision>
  <dcterms:created xsi:type="dcterms:W3CDTF">2023-06-20T15:31:00Z</dcterms:created>
  <dcterms:modified xsi:type="dcterms:W3CDTF">2023-07-12T07:20:00Z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e19b8d-fad6-4ab7-9522-46d4ce3e2dbb_Enabled">
    <vt:lpwstr>true</vt:lpwstr>
  </property>
  <property fmtid="{D5CDD505-2E9C-101B-9397-08002B2CF9AE}" pid="3" name="MSIP_Label_2ce19b8d-fad6-4ab7-9522-46d4ce3e2dbb_SetDate">
    <vt:lpwstr>2023-06-20T15:31:05Z</vt:lpwstr>
  </property>
  <property fmtid="{D5CDD505-2E9C-101B-9397-08002B2CF9AE}" pid="4" name="MSIP_Label_2ce19b8d-fad6-4ab7-9522-46d4ce3e2dbb_Method">
    <vt:lpwstr>Standard</vt:lpwstr>
  </property>
  <property fmtid="{D5CDD505-2E9C-101B-9397-08002B2CF9AE}" pid="5" name="MSIP_Label_2ce19b8d-fad6-4ab7-9522-46d4ce3e2dbb_Name">
    <vt:lpwstr>2ce19b8d-fad6-4ab7-9522-46d4ce3e2dbb</vt:lpwstr>
  </property>
  <property fmtid="{D5CDD505-2E9C-101B-9397-08002B2CF9AE}" pid="6" name="MSIP_Label_2ce19b8d-fad6-4ab7-9522-46d4ce3e2dbb_SiteId">
    <vt:lpwstr>049111b5-d97f-4710-b00a-5a42955a4d8e</vt:lpwstr>
  </property>
  <property fmtid="{D5CDD505-2E9C-101B-9397-08002B2CF9AE}" pid="7" name="MSIP_Label_2ce19b8d-fad6-4ab7-9522-46d4ce3e2dbb_ActionId">
    <vt:lpwstr>c50b418e-fefd-4dc4-95bd-2e1298efc497</vt:lpwstr>
  </property>
  <property fmtid="{D5CDD505-2E9C-101B-9397-08002B2CF9AE}" pid="8" name="MSIP_Label_2ce19b8d-fad6-4ab7-9522-46d4ce3e2dbb_ContentBits">
    <vt:lpwstr>0</vt:lpwstr>
  </property>
</Properties>
</file>