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7CE3" w14:textId="4318E183" w:rsidR="006E73DD" w:rsidRPr="000B1114" w:rsidRDefault="00024A16" w:rsidP="004B04F8">
      <w:pPr>
        <w:shd w:val="clear" w:color="auto" w:fill="FFFFFF"/>
        <w:contextualSpacing/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</w:pPr>
      <w:r w:rsidRPr="000B1114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 xml:space="preserve">T. Rowe Price – Global High Yield Bond: </w:t>
      </w:r>
      <w:proofErr w:type="spellStart"/>
      <w:r w:rsidR="00A94735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>trovare</w:t>
      </w:r>
      <w:proofErr w:type="spellEnd"/>
      <w:r w:rsidR="00A94735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 xml:space="preserve"> </w:t>
      </w:r>
      <w:proofErr w:type="spellStart"/>
      <w:r w:rsidR="00A94735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>opportunità</w:t>
      </w:r>
      <w:proofErr w:type="spellEnd"/>
      <w:r w:rsidR="00A94735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 xml:space="preserve"> in mezzo </w:t>
      </w:r>
      <w:proofErr w:type="spellStart"/>
      <w:r w:rsidR="00A94735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>alla</w:t>
      </w:r>
      <w:proofErr w:type="spellEnd"/>
      <w:r w:rsidR="00A94735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 xml:space="preserve"> </w:t>
      </w:r>
      <w:proofErr w:type="spellStart"/>
      <w:r w:rsidR="00A94735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>volatilità</w:t>
      </w:r>
      <w:proofErr w:type="spellEnd"/>
      <w:r w:rsidR="00A94735">
        <w:rPr>
          <w:rFonts w:eastAsia="Times New Roman" w:cstheme="minorHAnsi"/>
          <w:b/>
          <w:bCs/>
          <w:kern w:val="0"/>
          <w:sz w:val="22"/>
          <w:szCs w:val="22"/>
          <w:lang w:val="en-US" w:eastAsia="en-GB"/>
          <w14:ligatures w14:val="none"/>
        </w:rPr>
        <w:t xml:space="preserve"> </w:t>
      </w:r>
    </w:p>
    <w:p w14:paraId="01CCC714" w14:textId="77777777" w:rsidR="004B04F8" w:rsidRDefault="004B04F8" w:rsidP="004B04F8">
      <w:pPr>
        <w:shd w:val="clear" w:color="auto" w:fill="FFFFFF"/>
        <w:contextualSpacing/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</w:pPr>
    </w:p>
    <w:p w14:paraId="74AE50A5" w14:textId="2823D5C6" w:rsidR="00D62925" w:rsidRPr="00024A16" w:rsidRDefault="006E73DD" w:rsidP="004B04F8">
      <w:pPr>
        <w:shd w:val="clear" w:color="auto" w:fill="FFFFFF"/>
        <w:contextualSpacing/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</w:pPr>
      <w:r w:rsidRPr="00024A16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 xml:space="preserve">A cura di </w:t>
      </w:r>
      <w:r w:rsidRPr="00024A16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 xml:space="preserve">Michael Della Vedova, </w:t>
      </w:r>
      <w:r w:rsidR="00D62925" w:rsidRPr="00024A16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Co</w:t>
      </w:r>
      <w:r w:rsidR="00D62925" w:rsidRPr="00024A16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noBreakHyphen/>
        <w:t xml:space="preserve">portfolio Manager, Global High </w:t>
      </w:r>
      <w:proofErr w:type="spellStart"/>
      <w:r w:rsidR="00D62925" w:rsidRPr="00024A16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Income</w:t>
      </w:r>
      <w:proofErr w:type="spellEnd"/>
      <w:r w:rsidR="00D62925" w:rsidRPr="00024A16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 xml:space="preserve"> Bond Strategy</w:t>
      </w:r>
      <w:r w:rsidRPr="00024A16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, T. Rowe Price</w:t>
      </w:r>
    </w:p>
    <w:p w14:paraId="2719E99C" w14:textId="77777777" w:rsidR="004B04F8" w:rsidRDefault="004B04F8" w:rsidP="004B04F8">
      <w:pPr>
        <w:pStyle w:val="Titolo3"/>
        <w:shd w:val="clear" w:color="auto" w:fill="FFFFFF"/>
        <w:spacing w:before="0"/>
        <w:contextualSpacing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</w:pPr>
    </w:p>
    <w:p w14:paraId="41684259" w14:textId="27D164EF" w:rsidR="006E73DD" w:rsidRPr="00024A16" w:rsidRDefault="006E73DD" w:rsidP="004B04F8">
      <w:pPr>
        <w:pStyle w:val="Titolo3"/>
        <w:shd w:val="clear" w:color="auto" w:fill="FFFFFF"/>
        <w:spacing w:before="0"/>
        <w:contextualSpacing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</w:pP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 xml:space="preserve">Le obbligazioni </w:t>
      </w:r>
      <w:r w:rsidR="00F329D0"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 xml:space="preserve">globali </w:t>
      </w: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high yield continuano ad apparire interessanti grazie ai solidi fondamentali societari e ai rendimenti che si attestano sui livelli più alti degli ultimi anni.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 I bilanci sono relativamente sani, poiché molte </w:t>
      </w:r>
      <w:r w:rsidR="00ED3B0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società</w:t>
      </w:r>
      <w:r w:rsidR="00ED3B05"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si sono assicurate finanziamenti a basso costo nel 2020 e nel 2021, e ciò potrebbe contribuire a mantenere bassi i tassi di default quest’anno, nonostante il rallentamento della crescita economica. </w:t>
      </w:r>
      <w:r w:rsidR="00F92AD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Inoltre, i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l fabbisogno di nuove emissioni nel 2023 sarà probabilmente basso, il che è altrettanto positivo. Questi fattori dovrebbero sostenere l’asset class, nonostante la potenziale volatilità determinata da un’inflazione vischiosa, dal rallentamento della crescita e dalle preoccupazioni del settore bancario.</w:t>
      </w:r>
    </w:p>
    <w:p w14:paraId="4C16F568" w14:textId="77777777" w:rsidR="004B04F8" w:rsidRDefault="004B04F8" w:rsidP="004B04F8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</w:pPr>
    </w:p>
    <w:p w14:paraId="57199583" w14:textId="713652E4" w:rsidR="006E73DD" w:rsidRPr="00024A16" w:rsidRDefault="006E73DD" w:rsidP="004B04F8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</w:pPr>
      <w:r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>Rendimenti interessanti</w:t>
      </w:r>
    </w:p>
    <w:p w14:paraId="20A178C6" w14:textId="7D9D7836" w:rsidR="006E73DD" w:rsidRDefault="006E73DD" w:rsidP="004B04F8">
      <w:pPr>
        <w:pStyle w:val="Titolo3"/>
        <w:shd w:val="clear" w:color="auto" w:fill="FFFFFF"/>
        <w:spacing w:before="0"/>
        <w:contextualSpacing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</w:pP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Il forte aumento dei rendimenti dei titoli di Stato nel 2022 ha spinto in alto i rendimenti dei </w:t>
      </w:r>
      <w:r w:rsidR="00F329D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global 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corporate bond high yield, che lo scorso ottobre hanno sfiorato il 10%. Sebbene i rendimenti siano lontani dai massimi, riteniamo che rimangano interessanti, con </w:t>
      </w: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 xml:space="preserve">un rendimento dell’asset class attualmente superiore all’8%, un livello visto </w:t>
      </w:r>
      <w:r w:rsidR="00354C2C"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 xml:space="preserve">raramente </w:t>
      </w: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nell’ultimo decennio.</w:t>
      </w:r>
    </w:p>
    <w:p w14:paraId="55B736CD" w14:textId="77777777" w:rsidR="004B04F8" w:rsidRPr="004B04F8" w:rsidRDefault="004B04F8" w:rsidP="004B04F8">
      <w:pPr>
        <w:rPr>
          <w:lang w:val="it-IT" w:eastAsia="en-GB"/>
        </w:rPr>
      </w:pPr>
    </w:p>
    <w:p w14:paraId="2DBCB246" w14:textId="33A88E29" w:rsidR="006E73DD" w:rsidRDefault="006E73DD" w:rsidP="004B04F8">
      <w:pPr>
        <w:pStyle w:val="Titolo3"/>
        <w:shd w:val="clear" w:color="auto" w:fill="FFFFFF"/>
        <w:spacing w:before="0"/>
        <w:contextualSpacing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</w:pP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 xml:space="preserve">Per gli investitori con un orizzonte temporale adeguato sono disponibili interessanti opportunità di </w:t>
      </w:r>
      <w:r w:rsidR="007A5F46"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rendimento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. In particolare, le obbligazioni scontate beneficiano </w:t>
      </w:r>
      <w:r w:rsidR="00913033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dell’effetto pull to par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 (</w:t>
      </w:r>
      <w:r w:rsidR="00913033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verso il suo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 valore nominale) man mano che si avvicinano alla scadenza, offrendo potenziali opportunità di apprezzamento del capitale. Anche se basso, </w:t>
      </w:r>
      <w:r w:rsidR="00913033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il fattore 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duration delle obbligazioni high yield può fornire una certa diversificazione, dato che le banche centrali si avvicinano alla fine dei loro cicli di restrizione.</w:t>
      </w:r>
    </w:p>
    <w:p w14:paraId="4C4493BE" w14:textId="77777777" w:rsidR="004B04F8" w:rsidRPr="004B04F8" w:rsidRDefault="004B04F8" w:rsidP="004B04F8">
      <w:pPr>
        <w:rPr>
          <w:lang w:val="it-IT" w:eastAsia="en-GB"/>
        </w:rPr>
      </w:pPr>
    </w:p>
    <w:p w14:paraId="3B0FFA00" w14:textId="45D7A258" w:rsidR="006E73DD" w:rsidRPr="00024A16" w:rsidRDefault="006E73DD" w:rsidP="004B04F8">
      <w:pPr>
        <w:pStyle w:val="Titolo3"/>
        <w:shd w:val="clear" w:color="auto" w:fill="FFFFFF"/>
        <w:spacing w:before="0"/>
        <w:contextualSpacing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</w:pP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Per quanto riguarda le regioni, al momento vediamo</w:t>
      </w:r>
      <w:r w:rsidR="00F22E6A"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024A16"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valore</w:t>
      </w: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024A16"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 xml:space="preserve">in </w:t>
      </w: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Europa, nonostante le sue prospettive di crescita siano difficili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. </w:t>
      </w:r>
      <w:r w:rsidR="00ED3B0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Negli ultimi due anni, l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e obbligazioni high yield europee hanno sottoperformato le obbligazioni high yield statunitensi e hanno quindi un prezzo conveniente, considerando la loro composizione di qualità superiore e la minore esposizione a mercati ciclici come quello delle materie prime. Inoltre, </w:t>
      </w: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il mercato europeo è più giovane e meno maturo di quello statunitense.</w:t>
      </w:r>
    </w:p>
    <w:p w14:paraId="09225DA9" w14:textId="77777777" w:rsidR="006E73DD" w:rsidRPr="00024A16" w:rsidRDefault="006E73DD" w:rsidP="004B04F8">
      <w:pPr>
        <w:pStyle w:val="Titolo3"/>
        <w:shd w:val="clear" w:color="auto" w:fill="FFFFFF"/>
        <w:spacing w:before="0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4A38F31" w14:textId="4CE35ECF" w:rsidR="006E73DD" w:rsidRDefault="006E73DD" w:rsidP="004B04F8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 xml:space="preserve">I bilanci </w:t>
      </w:r>
      <w:r w:rsidR="00913033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>appaiono</w:t>
      </w:r>
      <w:r w:rsidR="00913033"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>sani</w:t>
      </w:r>
      <w:r w:rsidR="000B1114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br/>
      </w:r>
      <w:r w:rsidRPr="00024A16">
        <w:rPr>
          <w:rFonts w:asciiTheme="minorHAnsi" w:hAnsiTheme="minorHAnsi" w:cstheme="minorHAnsi"/>
          <w:sz w:val="22"/>
          <w:szCs w:val="22"/>
          <w:lang w:val="it-IT"/>
        </w:rPr>
        <w:t xml:space="preserve">Le società sono attualmente sostenute da solidi fondamentali. Gli indici di liquidità rimangono forti, mentre gli indici di leva finanziaria sono relativamente bassi. Di conseguenza, </w:t>
      </w:r>
      <w:r w:rsidRPr="000B1114">
        <w:rPr>
          <w:rFonts w:asciiTheme="minorHAnsi" w:hAnsiTheme="minorHAnsi" w:cstheme="minorHAnsi"/>
          <w:b/>
          <w:bCs/>
          <w:sz w:val="22"/>
          <w:szCs w:val="22"/>
          <w:lang w:val="it-IT"/>
        </w:rPr>
        <w:t>i bilanci aziendali sono generalmente in uno stato relativamente sano, il che dovrebbe contribuire a mantenere bassi i default quest’anno.</w:t>
      </w:r>
      <w:r w:rsidRPr="00024A16">
        <w:rPr>
          <w:rFonts w:asciiTheme="minorHAnsi" w:hAnsiTheme="minorHAnsi" w:cstheme="minorHAnsi"/>
          <w:sz w:val="22"/>
          <w:szCs w:val="22"/>
          <w:lang w:val="it-IT"/>
        </w:rPr>
        <w:t xml:space="preserve"> È inoltre importante ricordare che le aziende tendono ad avere un debito con scadenze variabili distribuite su più anni; quindi, l’impatto dell’aumento dei tassi d’interesse non è immediato, ma viene </w:t>
      </w:r>
      <w:r w:rsidR="00F22E6A">
        <w:rPr>
          <w:rFonts w:asciiTheme="minorHAnsi" w:hAnsiTheme="minorHAnsi" w:cstheme="minorHAnsi"/>
          <w:sz w:val="22"/>
          <w:szCs w:val="22"/>
          <w:lang w:val="it-IT"/>
        </w:rPr>
        <w:t>distribuito</w:t>
      </w:r>
      <w:r w:rsidR="00F22E6A" w:rsidRPr="00024A1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24A16">
        <w:rPr>
          <w:rFonts w:asciiTheme="minorHAnsi" w:hAnsiTheme="minorHAnsi" w:cstheme="minorHAnsi"/>
          <w:sz w:val="22"/>
          <w:szCs w:val="22"/>
          <w:lang w:val="it-IT"/>
        </w:rPr>
        <w:t>nel tempo.</w:t>
      </w:r>
    </w:p>
    <w:p w14:paraId="49EC2E45" w14:textId="77777777" w:rsidR="004B04F8" w:rsidRPr="000B1114" w:rsidRDefault="004B04F8" w:rsidP="004B04F8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</w:pPr>
    </w:p>
    <w:p w14:paraId="61B8F489" w14:textId="44187250" w:rsidR="006E73DD" w:rsidRPr="00024A16" w:rsidRDefault="006E73DD" w:rsidP="004B04F8">
      <w:pPr>
        <w:pStyle w:val="Titolo3"/>
        <w:shd w:val="clear" w:color="auto" w:fill="FFFFFF"/>
        <w:spacing w:before="0"/>
        <w:contextualSpacing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</w:pP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Guardando al futuro, </w:t>
      </w: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il rallentamento della crescita potrebbe avere un impatto sulle imprese e pesare sui margini di profitto nel corso di quest’anno e fino al 2024.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 Pertanto, è possibile che i fondamentali inizino a deteriorarsi, ma è importante ricordare che il punto di partenza è una posizione di forza. Nel complesso, riteniamo che i settori difensivi, tra cui le società di assistenza sanitaria meno cicliche, e i settori come le telecomunicazioni europee avranno probabilmente la meglio in un contesto di crescita più debole.</w:t>
      </w:r>
    </w:p>
    <w:p w14:paraId="58FD8E12" w14:textId="77777777" w:rsidR="000B1114" w:rsidRDefault="000B1114" w:rsidP="004B04F8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</w:pPr>
    </w:p>
    <w:p w14:paraId="69811B9C" w14:textId="12403FAE" w:rsidR="006E73DD" w:rsidRPr="00024A16" w:rsidRDefault="006E73DD" w:rsidP="004B04F8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</w:pPr>
      <w:r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 xml:space="preserve">Probabile persistenza </w:t>
      </w:r>
      <w:r w:rsidR="00F22E6A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>di un’</w:t>
      </w:r>
      <w:r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 xml:space="preserve">offerta </w:t>
      </w:r>
      <w:r w:rsidR="00F22E6A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 xml:space="preserve">bassa </w:t>
      </w:r>
      <w:r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>e d</w:t>
      </w:r>
      <w:r w:rsidR="00F22E6A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>i una</w:t>
      </w:r>
      <w:r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 xml:space="preserve"> forte domanda</w:t>
      </w:r>
    </w:p>
    <w:p w14:paraId="5A583BDC" w14:textId="637D129E" w:rsidR="006E73DD" w:rsidRDefault="006E73DD" w:rsidP="004B04F8">
      <w:pPr>
        <w:pStyle w:val="Titolo3"/>
        <w:shd w:val="clear" w:color="auto" w:fill="FFFFFF"/>
        <w:spacing w:before="0"/>
        <w:contextualSpacing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</w:pP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lastRenderedPageBreak/>
        <w:t xml:space="preserve">Molte società high yield hanno approfittato di condizioni di finanziamento interessanti nel 2020 e nel 2021 per spostare più in là nel tempo </w:t>
      </w:r>
      <w:r w:rsidR="00F22E6A"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le loro scadenze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, </w:t>
      </w:r>
      <w:r w:rsidR="00F22E6A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la maggior parte di esse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 successive al 2025. Pertanto, </w:t>
      </w:r>
      <w:r w:rsidR="00F22E6A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molte 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società non </w:t>
      </w:r>
      <w:r w:rsidR="00F22E6A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avranno</w:t>
      </w:r>
      <w:r w:rsidR="00F22E6A"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bisogno di emettere nuove obbligazioni o di rifinanziarsi quest’anno, creando una </w:t>
      </w:r>
      <w:r w:rsidR="00913033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carenza in termini di</w:t>
      </w:r>
      <w:r w:rsidR="00F22E6A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offerta sul mercato primario. </w:t>
      </w:r>
      <w:r w:rsidRPr="000B1114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it-IT" w:eastAsia="en-GB"/>
          <w14:ligatures w14:val="none"/>
        </w:rPr>
        <w:t>Con elevati livelli di liquidità nei bilanci e limitate nuove emissioni, ci aspettiamo che le poche selezionate che arriveranno sul mercato saranno accolte da una forte domanda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 xml:space="preserve">, soprattutto in presenza di un elevato flusso di </w:t>
      </w:r>
      <w:r w:rsidR="001D56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cassa</w:t>
      </w:r>
      <w:r w:rsidRPr="00024A16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it-IT" w:eastAsia="en-GB"/>
          <w14:ligatures w14:val="none"/>
        </w:rPr>
        <w:t>.</w:t>
      </w:r>
    </w:p>
    <w:p w14:paraId="1C8FB610" w14:textId="77777777" w:rsidR="004B04F8" w:rsidRPr="004B04F8" w:rsidRDefault="004B04F8" w:rsidP="004B04F8">
      <w:pPr>
        <w:rPr>
          <w:lang w:val="it-IT" w:eastAsia="en-GB"/>
        </w:rPr>
      </w:pPr>
    </w:p>
    <w:p w14:paraId="149D9F17" w14:textId="50402278" w:rsidR="006E73DD" w:rsidRPr="00024A16" w:rsidRDefault="006E73DD" w:rsidP="004B04F8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</w:pPr>
      <w:r w:rsidRPr="00024A16">
        <w:rPr>
          <w:rFonts w:asciiTheme="minorHAnsi" w:eastAsiaTheme="majorEastAsia" w:hAnsiTheme="minorHAnsi" w:cstheme="minorHAnsi"/>
          <w:b/>
          <w:bCs/>
          <w:kern w:val="2"/>
          <w:sz w:val="22"/>
          <w:szCs w:val="22"/>
          <w:lang w:val="it-IT" w:eastAsia="en-US"/>
          <w14:ligatures w14:val="standardContextual"/>
        </w:rPr>
        <w:t>La volatilità rimane una sfida</w:t>
      </w:r>
    </w:p>
    <w:p w14:paraId="37676C92" w14:textId="75AAD308" w:rsidR="006E73DD" w:rsidRPr="00024A16" w:rsidRDefault="001D562F" w:rsidP="004B04F8">
      <w:pPr>
        <w:shd w:val="clear" w:color="auto" w:fill="FFFFFF"/>
        <w:contextualSpacing/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>L</w:t>
      </w:r>
      <w:r w:rsidR="006E73DD" w:rsidRPr="00024A16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>’asse</w:t>
      </w:r>
      <w:r w:rsidR="006E73DD" w:rsidRPr="000B1114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 xml:space="preserve">t class </w:t>
      </w:r>
      <w:proofErr w:type="gramStart"/>
      <w:r w:rsidR="006E73DD" w:rsidRPr="000B1114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>potrebbe essere soggetta</w:t>
      </w:r>
      <w:proofErr w:type="gramEnd"/>
      <w:r w:rsidR="006E73DD" w:rsidRPr="000B1114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 xml:space="preserve"> a </w:t>
      </w:r>
      <w:r w:rsidR="006E73DD" w:rsidRPr="00024A16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 xml:space="preserve">volatilità. I mercati e gli investitori sono attualmente alle prese con diverse sfide, tra cui un’inflazione ostinatamente elevata, il rallentamento della crescita economica e le preoccupazioni del settore bancario. </w:t>
      </w:r>
      <w:r w:rsidR="006E73DD"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Prevediamo tuttavia che</w:t>
      </w:r>
      <w:r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AA1EF4"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il</w:t>
      </w:r>
      <w:r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 xml:space="preserve"> balance of risk</w:t>
      </w:r>
      <w:r w:rsidR="006E73DD"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 xml:space="preserve"> inizierà a spostarsi dalle preoccupazioni macro alla volatilità del credito</w:t>
      </w:r>
      <w:r w:rsidR="006E73DD" w:rsidRPr="00024A16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>, dato che il rallentamento della crescita probabilmente metterà sotto pressione i margini di profitto delle aziende.</w:t>
      </w:r>
    </w:p>
    <w:p w14:paraId="15BCDBAF" w14:textId="50483856" w:rsidR="006E73DD" w:rsidRPr="000B1114" w:rsidRDefault="006E73DD" w:rsidP="004B04F8">
      <w:pPr>
        <w:shd w:val="clear" w:color="auto" w:fill="FFFFFF"/>
        <w:contextualSpacing/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</w:pPr>
      <w:r w:rsidRPr="00024A16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 xml:space="preserve">Nel complesso, </w:t>
      </w:r>
      <w:r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è lecito attendersi una certa volatilità nei prossimi mesi</w:t>
      </w:r>
      <w:r w:rsidRPr="00024A16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 xml:space="preserve">, ma a nostro avviso l’asset class è ben posizionata per affrontarla. Riteniamo che rimangano ampie opportunità per generare valore e capitalizzare </w:t>
      </w:r>
      <w:r w:rsidR="00D7287C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>i rendimenti</w:t>
      </w:r>
      <w:r w:rsidR="00D7287C" w:rsidRPr="00024A16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024A16"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  <w:t xml:space="preserve">interessanti, </w:t>
      </w:r>
      <w:r w:rsidR="006575A3"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tuttavia</w:t>
      </w:r>
      <w:r w:rsidR="004B04F8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,</w:t>
      </w:r>
      <w:r w:rsidR="006575A3"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 xml:space="preserve">la selezione dei titoli </w:t>
      </w:r>
      <w:r w:rsidR="009D04DF"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 xml:space="preserve">diventerà </w:t>
      </w:r>
      <w:r w:rsidRPr="000B1114">
        <w:rPr>
          <w:rFonts w:eastAsia="Times New Roman" w:cstheme="minorHAnsi"/>
          <w:b/>
          <w:bCs/>
          <w:kern w:val="0"/>
          <w:sz w:val="22"/>
          <w:szCs w:val="22"/>
          <w:lang w:val="it-IT" w:eastAsia="en-GB"/>
          <w14:ligatures w14:val="none"/>
        </w:rPr>
        <w:t>fondamentale.</w:t>
      </w:r>
    </w:p>
    <w:p w14:paraId="0E190D90" w14:textId="77777777" w:rsidR="00D62925" w:rsidRPr="00024A16" w:rsidRDefault="00D62925" w:rsidP="004B04F8">
      <w:pPr>
        <w:shd w:val="clear" w:color="auto" w:fill="FFFFFF"/>
        <w:contextualSpacing/>
        <w:rPr>
          <w:rFonts w:eastAsia="Times New Roman" w:cstheme="minorHAnsi"/>
          <w:kern w:val="0"/>
          <w:sz w:val="22"/>
          <w:szCs w:val="22"/>
          <w:lang w:val="it-IT" w:eastAsia="en-GB"/>
          <w14:ligatures w14:val="none"/>
        </w:rPr>
      </w:pPr>
    </w:p>
    <w:sectPr w:rsidR="00D62925" w:rsidRPr="0002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6F0"/>
    <w:multiLevelType w:val="multilevel"/>
    <w:tmpl w:val="E9F0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01C3B"/>
    <w:multiLevelType w:val="hybridMultilevel"/>
    <w:tmpl w:val="7384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78473">
    <w:abstractNumId w:val="0"/>
  </w:num>
  <w:num w:numId="2" w16cid:durableId="180888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25"/>
    <w:rsid w:val="00024A16"/>
    <w:rsid w:val="000274AE"/>
    <w:rsid w:val="00043B12"/>
    <w:rsid w:val="000B1114"/>
    <w:rsid w:val="001D562F"/>
    <w:rsid w:val="001F1E0E"/>
    <w:rsid w:val="00212737"/>
    <w:rsid w:val="003035A8"/>
    <w:rsid w:val="00354C2C"/>
    <w:rsid w:val="004B04F8"/>
    <w:rsid w:val="006575A3"/>
    <w:rsid w:val="006E49B2"/>
    <w:rsid w:val="006E73DD"/>
    <w:rsid w:val="006F0214"/>
    <w:rsid w:val="007A5F46"/>
    <w:rsid w:val="007E59CA"/>
    <w:rsid w:val="00913033"/>
    <w:rsid w:val="009556CA"/>
    <w:rsid w:val="009D04DF"/>
    <w:rsid w:val="00A94735"/>
    <w:rsid w:val="00AA1EF4"/>
    <w:rsid w:val="00BB78BC"/>
    <w:rsid w:val="00BC4C71"/>
    <w:rsid w:val="00D62925"/>
    <w:rsid w:val="00D7287C"/>
    <w:rsid w:val="00D84FB7"/>
    <w:rsid w:val="00DC5FD2"/>
    <w:rsid w:val="00E966AD"/>
    <w:rsid w:val="00ED3B05"/>
    <w:rsid w:val="00F22E6A"/>
    <w:rsid w:val="00F329D0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9746"/>
  <w15:chartTrackingRefBased/>
  <w15:docId w15:val="{9E3FCDC2-FAB4-5B40-B8D3-57D103D0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29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29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29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29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customStyle="1" w:styleId="aem-gridcolumn">
    <w:name w:val="aem-gridcolumn"/>
    <w:basedOn w:val="Normale"/>
    <w:rsid w:val="00D629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gims-article-infoauthor">
    <w:name w:val="gims-article-info__author"/>
    <w:basedOn w:val="Normale"/>
    <w:rsid w:val="00D629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62925"/>
    <w:rPr>
      <w:color w:val="0000FF"/>
      <w:u w:val="single"/>
    </w:rPr>
  </w:style>
  <w:style w:type="character" w:customStyle="1" w:styleId="gims-article-infoauthortitle">
    <w:name w:val="gims-article-info__author__title"/>
    <w:basedOn w:val="Carpredefinitoparagrafo"/>
    <w:rsid w:val="00D6292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9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29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eWeb">
    <w:name w:val="Normal (Web)"/>
    <w:basedOn w:val="Normale"/>
    <w:uiPriority w:val="99"/>
    <w:unhideWhenUsed/>
    <w:rsid w:val="00D629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Paragrafoelenco">
    <w:name w:val="List Paragraph"/>
    <w:basedOn w:val="Normale"/>
    <w:uiPriority w:val="34"/>
    <w:qFormat/>
    <w:rsid w:val="006E73DD"/>
    <w:pPr>
      <w:ind w:left="720"/>
      <w:contextualSpacing/>
    </w:pPr>
  </w:style>
  <w:style w:type="paragraph" w:styleId="Revisione">
    <w:name w:val="Revision"/>
    <w:hidden/>
    <w:uiPriority w:val="99"/>
    <w:semiHidden/>
    <w:rsid w:val="00024A16"/>
  </w:style>
  <w:style w:type="character" w:styleId="Rimandocommento">
    <w:name w:val="annotation reference"/>
    <w:basedOn w:val="Carpredefinitoparagrafo"/>
    <w:uiPriority w:val="99"/>
    <w:semiHidden/>
    <w:unhideWhenUsed/>
    <w:rsid w:val="00ED3B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3B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3B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3B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3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87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7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5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49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4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9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C647-6EBF-45F5-ADF1-5C4F72A6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Diana Ferla</cp:lastModifiedBy>
  <cp:revision>33</cp:revision>
  <dcterms:created xsi:type="dcterms:W3CDTF">2023-06-27T07:33:00Z</dcterms:created>
  <dcterms:modified xsi:type="dcterms:W3CDTF">2023-06-29T07:26:00Z</dcterms:modified>
</cp:coreProperties>
</file>