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E54E" w14:textId="67695AED" w:rsidR="00B04394" w:rsidRPr="00361DF4" w:rsidRDefault="006479ED" w:rsidP="00B04394">
      <w:pPr>
        <w:tabs>
          <w:tab w:val="left" w:pos="567"/>
        </w:tabs>
        <w:rPr>
          <w:rFonts w:eastAsia="Times New Roman" w:cstheme="minorHAnsi"/>
          <w:b/>
          <w:bCs/>
          <w:kern w:val="36"/>
          <w:sz w:val="22"/>
          <w:szCs w:val="22"/>
          <w:lang w:val="it-IT" w:eastAsia="en-GB"/>
          <w14:ligatures w14:val="none"/>
        </w:rPr>
      </w:pPr>
      <w:r>
        <w:rPr>
          <w:rFonts w:eastAsia="Times New Roman" w:cstheme="minorHAnsi"/>
          <w:b/>
          <w:bCs/>
          <w:kern w:val="36"/>
          <w:sz w:val="22"/>
          <w:szCs w:val="22"/>
          <w:lang w:val="it-IT" w:eastAsia="en-GB"/>
          <w14:ligatures w14:val="none"/>
        </w:rPr>
        <w:t>Il fascino dell</w:t>
      </w:r>
      <w:r w:rsidR="00B04394" w:rsidRPr="00361DF4">
        <w:rPr>
          <w:rFonts w:eastAsia="Times New Roman" w:cstheme="minorHAnsi"/>
          <w:b/>
          <w:bCs/>
          <w:kern w:val="36"/>
          <w:sz w:val="22"/>
          <w:szCs w:val="22"/>
          <w:lang w:val="it-IT" w:eastAsia="en-GB"/>
          <w14:ligatures w14:val="none"/>
        </w:rPr>
        <w:t>’incertezza</w:t>
      </w:r>
      <w:r>
        <w:rPr>
          <w:rFonts w:eastAsia="Times New Roman" w:cstheme="minorHAnsi"/>
          <w:b/>
          <w:bCs/>
          <w:kern w:val="36"/>
          <w:sz w:val="22"/>
          <w:szCs w:val="22"/>
          <w:lang w:val="it-IT" w:eastAsia="en-GB"/>
          <w14:ligatures w14:val="none"/>
        </w:rPr>
        <w:t xml:space="preserve"> per gli investitori Value</w:t>
      </w:r>
    </w:p>
    <w:p w14:paraId="74EBB605" w14:textId="77777777" w:rsidR="00B04394" w:rsidRPr="00361DF4" w:rsidRDefault="00B04394" w:rsidP="00B04394">
      <w:pPr>
        <w:tabs>
          <w:tab w:val="left" w:pos="567"/>
        </w:tabs>
        <w:rPr>
          <w:rFonts w:eastAsia="Times New Roman" w:cstheme="minorHAnsi"/>
          <w:b/>
          <w:bCs/>
          <w:kern w:val="36"/>
          <w:sz w:val="22"/>
          <w:szCs w:val="22"/>
          <w:lang w:val="it-IT" w:eastAsia="en-GB"/>
          <w14:ligatures w14:val="none"/>
        </w:rPr>
      </w:pPr>
    </w:p>
    <w:p w14:paraId="5245773A" w14:textId="191FD2EE" w:rsidR="00B04394" w:rsidRPr="00361DF4" w:rsidRDefault="00B04394" w:rsidP="00B04394">
      <w:pPr>
        <w:tabs>
          <w:tab w:val="left" w:pos="567"/>
        </w:tabs>
        <w:rPr>
          <w:rFonts w:cstheme="minorHAnsi"/>
          <w:b/>
          <w:bCs/>
          <w:sz w:val="22"/>
          <w:szCs w:val="22"/>
          <w:lang w:val="en-US"/>
        </w:rPr>
      </w:pPr>
      <w:r w:rsidRPr="00361DF4">
        <w:rPr>
          <w:rFonts w:cstheme="minorHAnsi"/>
          <w:sz w:val="22"/>
          <w:szCs w:val="22"/>
          <w:lang w:val="en-US"/>
        </w:rPr>
        <w:t xml:space="preserve">A cura di </w:t>
      </w:r>
      <w:r w:rsidRPr="00361DF4">
        <w:rPr>
          <w:rFonts w:cstheme="minorHAnsi"/>
          <w:b/>
          <w:bCs/>
          <w:sz w:val="22"/>
          <w:szCs w:val="22"/>
          <w:lang w:val="en-US"/>
        </w:rPr>
        <w:t>Andrew Williams, Investment Director, Schroders</w:t>
      </w:r>
    </w:p>
    <w:p w14:paraId="281D325A" w14:textId="77777777" w:rsidR="00B04394" w:rsidRPr="00361DF4" w:rsidRDefault="00B04394" w:rsidP="00B04394">
      <w:pPr>
        <w:tabs>
          <w:tab w:val="left" w:pos="567"/>
        </w:tabs>
        <w:rPr>
          <w:rFonts w:cstheme="minorHAnsi"/>
          <w:sz w:val="22"/>
          <w:szCs w:val="22"/>
          <w:lang w:val="en-US"/>
        </w:rPr>
      </w:pPr>
    </w:p>
    <w:p w14:paraId="382A44CF" w14:textId="32856136" w:rsidR="002F5B64" w:rsidRPr="00361DF4" w:rsidRDefault="006479ED" w:rsidP="00B04394">
      <w:pPr>
        <w:pStyle w:val="typographyparagraph-sc-numijp-1"/>
        <w:tabs>
          <w:tab w:val="left" w:pos="567"/>
        </w:tabs>
        <w:rPr>
          <w:rStyle w:val="Enfasicorsivo"/>
          <w:rFonts w:asciiTheme="minorHAnsi" w:hAnsiTheme="minorHAnsi" w:cstheme="minorHAnsi"/>
          <w:i w:val="0"/>
          <w:iCs w:val="0"/>
          <w:sz w:val="22"/>
          <w:szCs w:val="22"/>
          <w:lang w:val="it-IT"/>
        </w:rPr>
      </w:pPr>
      <w:r>
        <w:rPr>
          <w:rStyle w:val="Enfasicorsivo"/>
          <w:rFonts w:asciiTheme="minorHAnsi" w:hAnsiTheme="minorHAnsi" w:cstheme="minorHAnsi"/>
          <w:i w:val="0"/>
          <w:iCs w:val="0"/>
          <w:sz w:val="22"/>
          <w:szCs w:val="22"/>
          <w:lang w:val="it-IT"/>
        </w:rPr>
        <w:t>Tutti g</w:t>
      </w:r>
      <w:r w:rsidR="00DF6B97" w:rsidRPr="00361DF4">
        <w:rPr>
          <w:rStyle w:val="Enfasicorsivo"/>
          <w:rFonts w:asciiTheme="minorHAnsi" w:hAnsiTheme="minorHAnsi" w:cstheme="minorHAnsi"/>
          <w:i w:val="0"/>
          <w:iCs w:val="0"/>
          <w:sz w:val="22"/>
          <w:szCs w:val="22"/>
          <w:lang w:val="it-IT"/>
        </w:rPr>
        <w:t xml:space="preserve">li investitori </w:t>
      </w:r>
      <w:r w:rsidR="00BE0EB6" w:rsidRPr="00361DF4">
        <w:rPr>
          <w:rStyle w:val="Enfasicorsivo"/>
          <w:rFonts w:asciiTheme="minorHAnsi" w:hAnsiTheme="minorHAnsi" w:cstheme="minorHAnsi"/>
          <w:i w:val="0"/>
          <w:iCs w:val="0"/>
          <w:sz w:val="22"/>
          <w:szCs w:val="22"/>
          <w:lang w:val="it-IT"/>
        </w:rPr>
        <w:t xml:space="preserve">dovrebbero </w:t>
      </w:r>
      <w:r w:rsidR="002F5B64">
        <w:rPr>
          <w:rStyle w:val="Enfasicorsivo"/>
          <w:rFonts w:asciiTheme="minorHAnsi" w:hAnsiTheme="minorHAnsi" w:cstheme="minorHAnsi"/>
          <w:i w:val="0"/>
          <w:iCs w:val="0"/>
          <w:sz w:val="22"/>
          <w:szCs w:val="22"/>
          <w:lang w:val="it-IT"/>
        </w:rPr>
        <w:t>pensare</w:t>
      </w:r>
      <w:r w:rsidR="002F5B64" w:rsidRPr="00361DF4">
        <w:rPr>
          <w:rStyle w:val="Enfasicorsivo"/>
          <w:rFonts w:asciiTheme="minorHAnsi" w:hAnsiTheme="minorHAnsi" w:cstheme="minorHAnsi"/>
          <w:i w:val="0"/>
          <w:iCs w:val="0"/>
          <w:sz w:val="22"/>
          <w:szCs w:val="22"/>
          <w:lang w:val="it-IT"/>
        </w:rPr>
        <w:t xml:space="preserve"> </w:t>
      </w:r>
      <w:r w:rsidR="00DF6B97" w:rsidRPr="00361DF4">
        <w:rPr>
          <w:rStyle w:val="Enfasicorsivo"/>
          <w:rFonts w:asciiTheme="minorHAnsi" w:hAnsiTheme="minorHAnsi" w:cstheme="minorHAnsi"/>
          <w:i w:val="0"/>
          <w:iCs w:val="0"/>
          <w:sz w:val="22"/>
          <w:szCs w:val="22"/>
          <w:lang w:val="it-IT"/>
        </w:rPr>
        <w:t xml:space="preserve">bene </w:t>
      </w:r>
      <w:r w:rsidR="002F5B64">
        <w:rPr>
          <w:rStyle w:val="Enfasicorsivo"/>
          <w:rFonts w:asciiTheme="minorHAnsi" w:hAnsiTheme="minorHAnsi" w:cstheme="minorHAnsi"/>
          <w:i w:val="0"/>
          <w:iCs w:val="0"/>
          <w:sz w:val="22"/>
          <w:szCs w:val="22"/>
          <w:lang w:val="it-IT"/>
        </w:rPr>
        <w:t xml:space="preserve">alle </w:t>
      </w:r>
      <w:r>
        <w:rPr>
          <w:rStyle w:val="Enfasicorsivo"/>
          <w:rFonts w:asciiTheme="minorHAnsi" w:hAnsiTheme="minorHAnsi" w:cstheme="minorHAnsi"/>
          <w:i w:val="0"/>
          <w:iCs w:val="0"/>
          <w:sz w:val="22"/>
          <w:szCs w:val="22"/>
          <w:lang w:val="it-IT"/>
        </w:rPr>
        <w:t>conseguenze</w:t>
      </w:r>
      <w:r w:rsidR="002F5B64">
        <w:rPr>
          <w:rStyle w:val="Enfasicorsivo"/>
          <w:rFonts w:asciiTheme="minorHAnsi" w:hAnsiTheme="minorHAnsi" w:cstheme="minorHAnsi"/>
          <w:i w:val="0"/>
          <w:iCs w:val="0"/>
          <w:sz w:val="22"/>
          <w:szCs w:val="22"/>
          <w:lang w:val="it-IT"/>
        </w:rPr>
        <w:t xml:space="preserve"> per il proprio portafoglio date da </w:t>
      </w:r>
      <w:r w:rsidR="00DF6B97" w:rsidRPr="00361DF4">
        <w:rPr>
          <w:rStyle w:val="Enfasicorsivo"/>
          <w:rFonts w:asciiTheme="minorHAnsi" w:hAnsiTheme="minorHAnsi" w:cstheme="minorHAnsi"/>
          <w:i w:val="0"/>
          <w:iCs w:val="0"/>
          <w:sz w:val="22"/>
          <w:szCs w:val="22"/>
          <w:lang w:val="it-IT"/>
        </w:rPr>
        <w:t xml:space="preserve">un contesto prolungato </w:t>
      </w:r>
      <w:r w:rsidR="002F5B64">
        <w:rPr>
          <w:rStyle w:val="Enfasicorsivo"/>
          <w:rFonts w:asciiTheme="minorHAnsi" w:hAnsiTheme="minorHAnsi" w:cstheme="minorHAnsi"/>
          <w:i w:val="0"/>
          <w:iCs w:val="0"/>
          <w:sz w:val="22"/>
          <w:szCs w:val="22"/>
          <w:lang w:val="it-IT"/>
        </w:rPr>
        <w:t>–</w:t>
      </w:r>
      <w:r w:rsidR="00DF6B97" w:rsidRPr="00361DF4">
        <w:rPr>
          <w:rStyle w:val="Enfasicorsivo"/>
          <w:rFonts w:asciiTheme="minorHAnsi" w:hAnsiTheme="minorHAnsi" w:cstheme="minorHAnsi"/>
          <w:i w:val="0"/>
          <w:iCs w:val="0"/>
          <w:sz w:val="22"/>
          <w:szCs w:val="22"/>
          <w:lang w:val="it-IT"/>
        </w:rPr>
        <w:t xml:space="preserve"> e per molti sconosciuto </w:t>
      </w:r>
      <w:r>
        <w:rPr>
          <w:rStyle w:val="Enfasicorsivo"/>
          <w:rFonts w:asciiTheme="minorHAnsi" w:hAnsiTheme="minorHAnsi" w:cstheme="minorHAnsi"/>
          <w:i w:val="0"/>
          <w:iCs w:val="0"/>
          <w:sz w:val="22"/>
          <w:szCs w:val="22"/>
          <w:lang w:val="it-IT"/>
        </w:rPr>
        <w:t>–</w:t>
      </w:r>
      <w:r w:rsidR="00DF6B97" w:rsidRPr="00361DF4">
        <w:rPr>
          <w:rStyle w:val="Enfasicorsivo"/>
          <w:rFonts w:asciiTheme="minorHAnsi" w:hAnsiTheme="minorHAnsi" w:cstheme="minorHAnsi"/>
          <w:i w:val="0"/>
          <w:iCs w:val="0"/>
          <w:sz w:val="22"/>
          <w:szCs w:val="22"/>
          <w:lang w:val="it-IT"/>
        </w:rPr>
        <w:t xml:space="preserve"> </w:t>
      </w:r>
      <w:r>
        <w:rPr>
          <w:rStyle w:val="Enfasicorsivo"/>
          <w:rFonts w:asciiTheme="minorHAnsi" w:hAnsiTheme="minorHAnsi" w:cstheme="minorHAnsi"/>
          <w:i w:val="0"/>
          <w:iCs w:val="0"/>
          <w:sz w:val="22"/>
          <w:szCs w:val="22"/>
          <w:lang w:val="it-IT"/>
        </w:rPr>
        <w:t>di tassi d’interesse più alti</w:t>
      </w:r>
      <w:r w:rsidR="00BE0EB6" w:rsidRPr="00361DF4">
        <w:rPr>
          <w:rStyle w:val="Enfasicorsivo"/>
          <w:rFonts w:asciiTheme="minorHAnsi" w:hAnsiTheme="minorHAnsi" w:cstheme="minorHAnsi"/>
          <w:i w:val="0"/>
          <w:iCs w:val="0"/>
          <w:sz w:val="22"/>
          <w:szCs w:val="22"/>
          <w:lang w:val="it-IT"/>
        </w:rPr>
        <w:t>.</w:t>
      </w:r>
      <w:r w:rsidR="00DF6B97" w:rsidRPr="00361DF4">
        <w:rPr>
          <w:rStyle w:val="Enfasicorsivo"/>
          <w:rFonts w:asciiTheme="minorHAnsi" w:hAnsiTheme="minorHAnsi" w:cstheme="minorHAnsi"/>
          <w:i w:val="0"/>
          <w:iCs w:val="0"/>
          <w:sz w:val="22"/>
          <w:szCs w:val="22"/>
          <w:lang w:val="it-IT"/>
        </w:rPr>
        <w:t xml:space="preserve"> </w:t>
      </w:r>
    </w:p>
    <w:p w14:paraId="6D077FB0" w14:textId="2BD4EC52" w:rsidR="00DA60FE" w:rsidRPr="00361DF4" w:rsidRDefault="002F5B64" w:rsidP="00DA60FE">
      <w:pPr>
        <w:pStyle w:val="typographyparagraph-sc-numijp-1"/>
        <w:tabs>
          <w:tab w:val="left" w:pos="567"/>
        </w:tabs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L’impatto di </w:t>
      </w:r>
      <w:r w:rsidR="00DA60FE" w:rsidRPr="00361DF4">
        <w:rPr>
          <w:rFonts w:asciiTheme="minorHAnsi" w:hAnsiTheme="minorHAnsi" w:cstheme="minorHAnsi"/>
          <w:sz w:val="22"/>
          <w:szCs w:val="22"/>
          <w:lang w:val="it-IT"/>
        </w:rPr>
        <w:t xml:space="preserve">questo cambiamento di </w:t>
      </w:r>
      <w:r>
        <w:rPr>
          <w:rFonts w:asciiTheme="minorHAnsi" w:hAnsiTheme="minorHAnsi" w:cstheme="minorHAnsi"/>
          <w:sz w:val="22"/>
          <w:szCs w:val="22"/>
          <w:lang w:val="it-IT"/>
        </w:rPr>
        <w:t>scenario</w:t>
      </w:r>
      <w:r w:rsidRPr="00361DF4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DA60FE" w:rsidRPr="00361DF4">
        <w:rPr>
          <w:rFonts w:asciiTheme="minorHAnsi" w:hAnsiTheme="minorHAnsi" w:cstheme="minorHAnsi"/>
          <w:sz w:val="22"/>
          <w:szCs w:val="22"/>
          <w:lang w:val="it-IT"/>
        </w:rPr>
        <w:t xml:space="preserve">potrebbe </w:t>
      </w:r>
      <w:r>
        <w:rPr>
          <w:rFonts w:asciiTheme="minorHAnsi" w:hAnsiTheme="minorHAnsi" w:cstheme="minorHAnsi"/>
          <w:sz w:val="22"/>
          <w:szCs w:val="22"/>
          <w:lang w:val="it-IT"/>
        </w:rPr>
        <w:t>essere negativo e occorre riflettere con attenzione</w:t>
      </w:r>
      <w:r w:rsidR="00DA60FE" w:rsidRPr="00361DF4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it-IT"/>
        </w:rPr>
        <w:t>Innanzitutto</w:t>
      </w:r>
      <w:r w:rsidR="00BE1BCF">
        <w:rPr>
          <w:rFonts w:asciiTheme="minorHAnsi" w:hAnsiTheme="minorHAnsi" w:cstheme="minorHAnsi"/>
          <w:sz w:val="22"/>
          <w:szCs w:val="22"/>
          <w:lang w:val="it-IT"/>
        </w:rPr>
        <w:t>, in linea generale,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dobbiamo assicurarci</w:t>
      </w:r>
      <w:r w:rsidR="00DA60FE" w:rsidRPr="00361DF4">
        <w:rPr>
          <w:rFonts w:asciiTheme="minorHAnsi" w:hAnsiTheme="minorHAnsi" w:cstheme="minorHAnsi"/>
          <w:sz w:val="22"/>
          <w:szCs w:val="22"/>
          <w:lang w:val="it-IT"/>
        </w:rPr>
        <w:t xml:space="preserve"> che le </w:t>
      </w:r>
      <w:r>
        <w:rPr>
          <w:rFonts w:asciiTheme="minorHAnsi" w:hAnsiTheme="minorHAnsi" w:cstheme="minorHAnsi"/>
          <w:sz w:val="22"/>
          <w:szCs w:val="22"/>
          <w:lang w:val="it-IT"/>
        </w:rPr>
        <w:t>aziende</w:t>
      </w:r>
      <w:r w:rsidRPr="00361DF4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DA60FE" w:rsidRPr="00361DF4">
        <w:rPr>
          <w:rFonts w:asciiTheme="minorHAnsi" w:hAnsiTheme="minorHAnsi" w:cstheme="minorHAnsi"/>
          <w:sz w:val="22"/>
          <w:szCs w:val="22"/>
          <w:lang w:val="it-IT"/>
        </w:rPr>
        <w:t xml:space="preserve">in cui </w:t>
      </w:r>
      <w:r w:rsidR="00BE0EB6" w:rsidRPr="00361DF4">
        <w:rPr>
          <w:rFonts w:asciiTheme="minorHAnsi" w:hAnsiTheme="minorHAnsi" w:cstheme="minorHAnsi"/>
          <w:sz w:val="22"/>
          <w:szCs w:val="22"/>
          <w:lang w:val="it-IT"/>
        </w:rPr>
        <w:t xml:space="preserve">investiamo </w:t>
      </w:r>
      <w:r w:rsidR="00DA60FE" w:rsidRPr="00361DF4">
        <w:rPr>
          <w:rFonts w:asciiTheme="minorHAnsi" w:hAnsiTheme="minorHAnsi" w:cstheme="minorHAnsi"/>
          <w:sz w:val="22"/>
          <w:szCs w:val="22"/>
          <w:lang w:val="it-IT"/>
        </w:rPr>
        <w:t xml:space="preserve">siano in grado di </w:t>
      </w:r>
      <w:r w:rsidR="00BE0EB6" w:rsidRPr="00361DF4">
        <w:rPr>
          <w:rFonts w:asciiTheme="minorHAnsi" w:hAnsiTheme="minorHAnsi" w:cstheme="minorHAnsi"/>
          <w:sz w:val="22"/>
          <w:szCs w:val="22"/>
          <w:lang w:val="it-IT"/>
        </w:rPr>
        <w:t xml:space="preserve">rimborsare </w:t>
      </w:r>
      <w:r w:rsidR="00DA60FE" w:rsidRPr="00361DF4">
        <w:rPr>
          <w:rFonts w:asciiTheme="minorHAnsi" w:hAnsiTheme="minorHAnsi" w:cstheme="minorHAnsi"/>
          <w:sz w:val="22"/>
          <w:szCs w:val="22"/>
          <w:lang w:val="it-IT"/>
        </w:rPr>
        <w:t xml:space="preserve">i </w:t>
      </w:r>
      <w:r w:rsidR="0025078D" w:rsidRPr="00361DF4">
        <w:rPr>
          <w:rFonts w:asciiTheme="minorHAnsi" w:hAnsiTheme="minorHAnsi" w:cstheme="minorHAnsi"/>
          <w:sz w:val="22"/>
          <w:szCs w:val="22"/>
          <w:lang w:val="it-IT"/>
        </w:rPr>
        <w:t xml:space="preserve">propri </w:t>
      </w:r>
      <w:r w:rsidR="00DA60FE" w:rsidRPr="00361DF4">
        <w:rPr>
          <w:rFonts w:asciiTheme="minorHAnsi" w:hAnsiTheme="minorHAnsi" w:cstheme="minorHAnsi"/>
          <w:sz w:val="22"/>
          <w:szCs w:val="22"/>
          <w:lang w:val="it-IT"/>
        </w:rPr>
        <w:t>debit</w:t>
      </w:r>
      <w:r w:rsidR="0025078D" w:rsidRPr="00361DF4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DA60FE" w:rsidRPr="00361DF4">
        <w:rPr>
          <w:rFonts w:asciiTheme="minorHAnsi" w:hAnsiTheme="minorHAnsi" w:cstheme="minorHAnsi"/>
          <w:sz w:val="22"/>
          <w:szCs w:val="22"/>
          <w:lang w:val="it-IT"/>
        </w:rPr>
        <w:t xml:space="preserve"> ai “vecchi</w:t>
      </w:r>
      <w:r w:rsidR="00EC3B6D">
        <w:rPr>
          <w:rFonts w:asciiTheme="minorHAnsi" w:hAnsiTheme="minorHAnsi" w:cstheme="minorHAnsi"/>
          <w:sz w:val="22"/>
          <w:szCs w:val="22"/>
          <w:lang w:val="it-IT"/>
        </w:rPr>
        <w:t>”</w:t>
      </w:r>
      <w:r w:rsidR="00BE1BCF">
        <w:rPr>
          <w:rFonts w:asciiTheme="minorHAnsi" w:hAnsiTheme="minorHAnsi" w:cstheme="minorHAnsi"/>
          <w:sz w:val="22"/>
          <w:szCs w:val="22"/>
          <w:lang w:val="it-IT"/>
        </w:rPr>
        <w:t>, “normali”</w:t>
      </w:r>
      <w:r w:rsidR="00DA60FE" w:rsidRPr="00361DF4">
        <w:rPr>
          <w:rFonts w:asciiTheme="minorHAnsi" w:hAnsiTheme="minorHAnsi" w:cstheme="minorHAnsi"/>
          <w:sz w:val="22"/>
          <w:szCs w:val="22"/>
          <w:lang w:val="it-IT"/>
        </w:rPr>
        <w:t xml:space="preserve"> tassi di interesse. Dopo tutto, quando si pensa alla salute delle aziende, per molti investitori il rapporto tra debito netto ed EBITDA è stato per lungo tempo l’unico </w:t>
      </w:r>
      <w:r w:rsidR="0025078D" w:rsidRPr="00361DF4">
        <w:rPr>
          <w:rFonts w:asciiTheme="minorHAnsi" w:hAnsiTheme="minorHAnsi" w:cstheme="minorHAnsi"/>
          <w:sz w:val="22"/>
          <w:szCs w:val="22"/>
          <w:lang w:val="it-IT"/>
        </w:rPr>
        <w:t xml:space="preserve">dato </w:t>
      </w:r>
      <w:r w:rsidR="00DA60FE" w:rsidRPr="00361DF4">
        <w:rPr>
          <w:rFonts w:asciiTheme="minorHAnsi" w:hAnsiTheme="minorHAnsi" w:cstheme="minorHAnsi"/>
          <w:sz w:val="22"/>
          <w:szCs w:val="22"/>
          <w:lang w:val="it-IT"/>
        </w:rPr>
        <w:t>di bilancio da prendere in considerazione.</w:t>
      </w:r>
      <w:r w:rsidR="00BE0EB6" w:rsidRPr="00361DF4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53BA66D1" w14:textId="227ABF90" w:rsidR="00DA60FE" w:rsidRPr="00361DF4" w:rsidRDefault="00DA60FE" w:rsidP="00DA60FE">
      <w:pPr>
        <w:pStyle w:val="typographyparagraph-sc-numijp-1"/>
        <w:tabs>
          <w:tab w:val="left" w:pos="567"/>
        </w:tabs>
        <w:rPr>
          <w:rFonts w:asciiTheme="minorHAnsi" w:hAnsiTheme="minorHAnsi" w:cstheme="minorHAnsi"/>
          <w:sz w:val="22"/>
          <w:szCs w:val="22"/>
          <w:lang w:val="it-IT"/>
        </w:rPr>
      </w:pPr>
      <w:r w:rsidRPr="00361DF4">
        <w:rPr>
          <w:rFonts w:asciiTheme="minorHAnsi" w:hAnsiTheme="minorHAnsi" w:cstheme="minorHAnsi"/>
          <w:sz w:val="22"/>
          <w:szCs w:val="22"/>
          <w:lang w:val="it-IT"/>
        </w:rPr>
        <w:t xml:space="preserve">In altre parole, </w:t>
      </w:r>
      <w:r w:rsidRPr="00361DF4">
        <w:rPr>
          <w:rFonts w:asciiTheme="minorHAnsi" w:hAnsiTheme="minorHAnsi" w:cstheme="minorHAnsi"/>
          <w:b/>
          <w:bCs/>
          <w:sz w:val="22"/>
          <w:szCs w:val="22"/>
          <w:lang w:val="it-IT"/>
        </w:rPr>
        <w:t>l’importanza della copertura degli interessi</w:t>
      </w:r>
      <w:r w:rsidRPr="00361DF4">
        <w:rPr>
          <w:rFonts w:asciiTheme="minorHAnsi" w:hAnsiTheme="minorHAnsi" w:cstheme="minorHAnsi"/>
          <w:sz w:val="22"/>
          <w:szCs w:val="22"/>
          <w:lang w:val="it-IT"/>
        </w:rPr>
        <w:t xml:space="preserve"> è stata ampiamente dimenticata. Eppure, come hanno dimostrato le recenti tensioni nel settore bancario statunitense, la liquidità può </w:t>
      </w:r>
      <w:r w:rsidR="00D84106" w:rsidRPr="00361DF4">
        <w:rPr>
          <w:rFonts w:asciiTheme="minorHAnsi" w:hAnsiTheme="minorHAnsi" w:cstheme="minorHAnsi"/>
          <w:sz w:val="22"/>
          <w:szCs w:val="22"/>
          <w:lang w:val="it-IT"/>
        </w:rPr>
        <w:t>rivelarsi un grosso problema</w:t>
      </w:r>
      <w:r w:rsidRPr="00361DF4">
        <w:rPr>
          <w:rFonts w:asciiTheme="minorHAnsi" w:hAnsiTheme="minorHAnsi" w:cstheme="minorHAnsi"/>
          <w:sz w:val="22"/>
          <w:szCs w:val="22"/>
          <w:lang w:val="it-IT"/>
        </w:rPr>
        <w:t xml:space="preserve">. Valutare lo stato di salute delle aziende in termini di copertura degli interessi - capire quali società hanno un debito non coperto e potrebbero faticare a </w:t>
      </w:r>
      <w:r w:rsidR="0025078D" w:rsidRPr="00361DF4">
        <w:rPr>
          <w:rFonts w:asciiTheme="minorHAnsi" w:hAnsiTheme="minorHAnsi" w:cstheme="minorHAnsi"/>
          <w:sz w:val="22"/>
          <w:szCs w:val="22"/>
          <w:lang w:val="it-IT"/>
        </w:rPr>
        <w:t xml:space="preserve">pagare </w:t>
      </w:r>
      <w:r w:rsidRPr="00361DF4">
        <w:rPr>
          <w:rFonts w:asciiTheme="minorHAnsi" w:hAnsiTheme="minorHAnsi" w:cstheme="minorHAnsi"/>
          <w:sz w:val="22"/>
          <w:szCs w:val="22"/>
          <w:lang w:val="it-IT"/>
        </w:rPr>
        <w:t xml:space="preserve">gli interessi in un contesto di tassi che si riteneva impossibile solo un anno fa - sarà </w:t>
      </w:r>
      <w:r w:rsidR="002959EC">
        <w:rPr>
          <w:rFonts w:asciiTheme="minorHAnsi" w:hAnsiTheme="minorHAnsi" w:cstheme="minorHAnsi"/>
          <w:sz w:val="22"/>
          <w:szCs w:val="22"/>
          <w:lang w:val="it-IT"/>
        </w:rPr>
        <w:t>con ogni probabilità</w:t>
      </w:r>
      <w:r w:rsidR="002959EC" w:rsidRPr="00361DF4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361DF4">
        <w:rPr>
          <w:rFonts w:asciiTheme="minorHAnsi" w:hAnsiTheme="minorHAnsi" w:cstheme="minorHAnsi"/>
          <w:sz w:val="22"/>
          <w:szCs w:val="22"/>
          <w:lang w:val="it-IT"/>
        </w:rPr>
        <w:t>cruciale per la performance.</w:t>
      </w:r>
    </w:p>
    <w:p w14:paraId="4106D2C7" w14:textId="77777777" w:rsidR="00DA60FE" w:rsidRPr="00361DF4" w:rsidRDefault="00DA60FE" w:rsidP="00B04394">
      <w:pPr>
        <w:pStyle w:val="typographyparagraph-sc-numijp-1"/>
        <w:tabs>
          <w:tab w:val="left" w:pos="567"/>
        </w:tabs>
        <w:contextualSpacing/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  <w:u w:val="single"/>
          <w:lang w:val="it-IT"/>
        </w:rPr>
      </w:pPr>
      <w:r w:rsidRPr="00361DF4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  <w:u w:val="single"/>
          <w:lang w:val="it-IT"/>
        </w:rPr>
        <w:t xml:space="preserve">Quale sarà il prossimo passo per le banche? </w:t>
      </w:r>
    </w:p>
    <w:p w14:paraId="0C24D376" w14:textId="3FCDF615" w:rsidR="00B200E9" w:rsidRPr="00361DF4" w:rsidRDefault="00B200E9" w:rsidP="00B200E9">
      <w:pPr>
        <w:pStyle w:val="typographyparagraph-sc-numijp-1"/>
        <w:tabs>
          <w:tab w:val="left" w:pos="567"/>
        </w:tabs>
        <w:rPr>
          <w:rFonts w:asciiTheme="minorHAnsi" w:hAnsiTheme="minorHAnsi" w:cstheme="minorHAnsi"/>
          <w:sz w:val="22"/>
          <w:szCs w:val="22"/>
          <w:lang w:val="it-IT"/>
        </w:rPr>
      </w:pPr>
      <w:r w:rsidRPr="00361DF4">
        <w:rPr>
          <w:rFonts w:asciiTheme="minorHAnsi" w:hAnsiTheme="minorHAnsi" w:cstheme="minorHAnsi"/>
          <w:sz w:val="22"/>
          <w:szCs w:val="22"/>
          <w:lang w:val="it-IT"/>
        </w:rPr>
        <w:t xml:space="preserve">Un’area più specifica da considerare è quella delle banche. </w:t>
      </w:r>
      <w:r w:rsidR="0025078D" w:rsidRPr="00361DF4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361DF4">
        <w:rPr>
          <w:rFonts w:asciiTheme="minorHAnsi" w:hAnsiTheme="minorHAnsi" w:cstheme="minorHAnsi"/>
          <w:sz w:val="22"/>
          <w:szCs w:val="22"/>
          <w:lang w:val="it-IT"/>
        </w:rPr>
        <w:t>onostante i titoli dei giornali,</w:t>
      </w:r>
      <w:r w:rsidR="00D045F9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361DF4">
        <w:rPr>
          <w:rFonts w:asciiTheme="minorHAnsi" w:hAnsiTheme="minorHAnsi" w:cstheme="minorHAnsi"/>
          <w:sz w:val="22"/>
          <w:szCs w:val="22"/>
          <w:lang w:val="it-IT"/>
        </w:rPr>
        <w:t>la maggior parte – anche se non tutte –</w:t>
      </w:r>
      <w:r w:rsidR="00361DF4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0A0D23" w:rsidRPr="00361DF4">
        <w:rPr>
          <w:rFonts w:asciiTheme="minorHAnsi" w:hAnsiTheme="minorHAnsi" w:cstheme="minorHAnsi"/>
          <w:b/>
          <w:bCs/>
          <w:sz w:val="22"/>
          <w:szCs w:val="22"/>
          <w:lang w:val="it-IT"/>
        </w:rPr>
        <w:t>del</w:t>
      </w:r>
      <w:r w:rsidRPr="00361DF4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le banche europee </w:t>
      </w:r>
      <w:r w:rsidR="00D045F9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e </w:t>
      </w:r>
      <w:r w:rsidR="00D045F9" w:rsidRPr="00361DF4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britanniche </w:t>
      </w:r>
      <w:r w:rsidRPr="00361DF4">
        <w:rPr>
          <w:rFonts w:asciiTheme="minorHAnsi" w:hAnsiTheme="minorHAnsi" w:cstheme="minorHAnsi"/>
          <w:b/>
          <w:bCs/>
          <w:sz w:val="22"/>
          <w:szCs w:val="22"/>
          <w:lang w:val="it-IT"/>
        </w:rPr>
        <w:t>hanno registrato una buona performance</w:t>
      </w:r>
      <w:r w:rsidR="000A0D23" w:rsidRPr="00361DF4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quest’anno</w:t>
      </w:r>
      <w:r w:rsidRPr="00361DF4">
        <w:rPr>
          <w:rFonts w:asciiTheme="minorHAnsi" w:hAnsiTheme="minorHAnsi" w:cstheme="minorHAnsi"/>
          <w:sz w:val="22"/>
          <w:szCs w:val="22"/>
          <w:lang w:val="it-IT"/>
        </w:rPr>
        <w:t>. A un’impennata al rialzo (che è facile da dimenticare) è seguita una brusca discesa (che</w:t>
      </w:r>
      <w:r w:rsidR="00D84106" w:rsidRPr="00361DF4">
        <w:rPr>
          <w:rFonts w:asciiTheme="minorHAnsi" w:hAnsiTheme="minorHAnsi" w:cstheme="minorHAnsi"/>
          <w:sz w:val="22"/>
          <w:szCs w:val="22"/>
          <w:lang w:val="it-IT"/>
        </w:rPr>
        <w:t>, invece,</w:t>
      </w:r>
      <w:r w:rsidRPr="00361DF4">
        <w:rPr>
          <w:rFonts w:asciiTheme="minorHAnsi" w:hAnsiTheme="minorHAnsi" w:cstheme="minorHAnsi"/>
          <w:sz w:val="22"/>
          <w:szCs w:val="22"/>
          <w:lang w:val="it-IT"/>
        </w:rPr>
        <w:t xml:space="preserve"> è</w:t>
      </w:r>
      <w:r w:rsidR="00D84106" w:rsidRPr="00361DF4">
        <w:rPr>
          <w:rFonts w:asciiTheme="minorHAnsi" w:hAnsiTheme="minorHAnsi" w:cstheme="minorHAnsi"/>
          <w:sz w:val="22"/>
          <w:szCs w:val="22"/>
          <w:lang w:val="it-IT"/>
        </w:rPr>
        <w:t xml:space="preserve"> difficile da dimenticare</w:t>
      </w:r>
      <w:r w:rsidRPr="00361DF4">
        <w:rPr>
          <w:rFonts w:asciiTheme="minorHAnsi" w:hAnsiTheme="minorHAnsi" w:cstheme="minorHAnsi"/>
          <w:sz w:val="22"/>
          <w:szCs w:val="22"/>
          <w:lang w:val="it-IT"/>
        </w:rPr>
        <w:t>).</w:t>
      </w:r>
    </w:p>
    <w:p w14:paraId="7BD10B84" w14:textId="3B9C43BB" w:rsidR="00B200E9" w:rsidRPr="00361DF4" w:rsidRDefault="00D84106" w:rsidP="00B200E9">
      <w:pPr>
        <w:pStyle w:val="typographyparagraph-sc-numijp-1"/>
        <w:tabs>
          <w:tab w:val="left" w:pos="567"/>
        </w:tabs>
        <w:rPr>
          <w:rFonts w:asciiTheme="minorHAnsi" w:hAnsiTheme="minorHAnsi" w:cstheme="minorHAnsi"/>
          <w:sz w:val="22"/>
          <w:szCs w:val="22"/>
          <w:lang w:val="it-IT"/>
        </w:rPr>
      </w:pPr>
      <w:r w:rsidRPr="00361DF4">
        <w:rPr>
          <w:rFonts w:asciiTheme="minorHAnsi" w:hAnsiTheme="minorHAnsi" w:cstheme="minorHAnsi"/>
          <w:sz w:val="22"/>
          <w:szCs w:val="22"/>
          <w:lang w:val="it-IT"/>
        </w:rPr>
        <w:t>Inoltre,</w:t>
      </w:r>
      <w:r w:rsidR="00B200E9" w:rsidRPr="00361DF4">
        <w:rPr>
          <w:rFonts w:asciiTheme="minorHAnsi" w:hAnsiTheme="minorHAnsi" w:cstheme="minorHAnsi"/>
          <w:sz w:val="22"/>
          <w:szCs w:val="22"/>
          <w:lang w:val="it-IT"/>
        </w:rPr>
        <w:t xml:space="preserve"> dopo aver aggiornato in modo significativo le previsioni sugli utili, </w:t>
      </w:r>
      <w:r w:rsidR="00B200E9" w:rsidRPr="00361DF4">
        <w:rPr>
          <w:rFonts w:asciiTheme="minorHAnsi" w:hAnsiTheme="minorHAnsi" w:cstheme="minorHAnsi"/>
          <w:b/>
          <w:bCs/>
          <w:sz w:val="22"/>
          <w:szCs w:val="22"/>
          <w:lang w:val="it-IT"/>
        </w:rPr>
        <w:t>le banche nel loro complesso scambiano ora a metà del multiplo di mercato</w:t>
      </w:r>
      <w:r w:rsidR="00B200E9" w:rsidRPr="00361DF4">
        <w:rPr>
          <w:rFonts w:asciiTheme="minorHAnsi" w:hAnsiTheme="minorHAnsi" w:cstheme="minorHAnsi"/>
          <w:sz w:val="22"/>
          <w:szCs w:val="22"/>
          <w:lang w:val="it-IT"/>
        </w:rPr>
        <w:t xml:space="preserve">, vicino al minimo ventennale </w:t>
      </w:r>
      <w:r w:rsidR="000A0D23" w:rsidRPr="00361DF4">
        <w:rPr>
          <w:rFonts w:asciiTheme="minorHAnsi" w:hAnsiTheme="minorHAnsi" w:cstheme="minorHAnsi"/>
          <w:sz w:val="22"/>
          <w:szCs w:val="22"/>
          <w:lang w:val="it-IT"/>
        </w:rPr>
        <w:t xml:space="preserve">toccato </w:t>
      </w:r>
      <w:r w:rsidR="00B200E9" w:rsidRPr="00361DF4">
        <w:rPr>
          <w:rFonts w:asciiTheme="minorHAnsi" w:hAnsiTheme="minorHAnsi" w:cstheme="minorHAnsi"/>
          <w:sz w:val="22"/>
          <w:szCs w:val="22"/>
          <w:lang w:val="it-IT"/>
        </w:rPr>
        <w:t xml:space="preserve">durante </w:t>
      </w:r>
      <w:r w:rsidRPr="00361DF4">
        <w:rPr>
          <w:rFonts w:asciiTheme="minorHAnsi" w:hAnsiTheme="minorHAnsi" w:cstheme="minorHAnsi"/>
          <w:sz w:val="22"/>
          <w:szCs w:val="22"/>
          <w:lang w:val="it-IT"/>
        </w:rPr>
        <w:t xml:space="preserve">il </w:t>
      </w:r>
      <w:r w:rsidR="00B200E9" w:rsidRPr="00361DF4">
        <w:rPr>
          <w:rFonts w:asciiTheme="minorHAnsi" w:hAnsiTheme="minorHAnsi" w:cstheme="minorHAnsi"/>
          <w:sz w:val="22"/>
          <w:szCs w:val="22"/>
          <w:lang w:val="it-IT"/>
        </w:rPr>
        <w:t xml:space="preserve">Covid. </w:t>
      </w:r>
    </w:p>
    <w:p w14:paraId="1DB3AE65" w14:textId="6CDBC11C" w:rsidR="00B200E9" w:rsidRPr="00361DF4" w:rsidRDefault="00B200E9" w:rsidP="00B200E9">
      <w:pPr>
        <w:pStyle w:val="typographyparagraph-sc-numijp-1"/>
        <w:tabs>
          <w:tab w:val="left" w:pos="567"/>
        </w:tabs>
        <w:rPr>
          <w:rFonts w:asciiTheme="minorHAnsi" w:hAnsiTheme="minorHAnsi" w:cstheme="minorHAnsi"/>
          <w:sz w:val="22"/>
          <w:szCs w:val="22"/>
          <w:lang w:val="it-IT"/>
        </w:rPr>
      </w:pPr>
      <w:r w:rsidRPr="00361DF4">
        <w:rPr>
          <w:rFonts w:asciiTheme="minorHAnsi" w:hAnsiTheme="minorHAnsi" w:cstheme="minorHAnsi"/>
          <w:sz w:val="22"/>
          <w:szCs w:val="22"/>
          <w:lang w:val="it-IT"/>
        </w:rPr>
        <w:t xml:space="preserve">Detto questo, </w:t>
      </w:r>
      <w:r w:rsidRPr="00361DF4">
        <w:rPr>
          <w:rFonts w:asciiTheme="minorHAnsi" w:hAnsiTheme="minorHAnsi" w:cstheme="minorHAnsi"/>
          <w:b/>
          <w:bCs/>
          <w:sz w:val="22"/>
          <w:szCs w:val="22"/>
          <w:lang w:val="it-IT"/>
        </w:rPr>
        <w:t>le banche sono l’unico settore globale ad aver registrato una revisione degli utili costantemente positiva negli ultimi due anni</w:t>
      </w:r>
      <w:r w:rsidRPr="00361DF4">
        <w:rPr>
          <w:rFonts w:asciiTheme="minorHAnsi" w:hAnsiTheme="minorHAnsi" w:cstheme="minorHAnsi"/>
          <w:sz w:val="22"/>
          <w:szCs w:val="22"/>
          <w:lang w:val="it-IT"/>
        </w:rPr>
        <w:t xml:space="preserve"> e la maggior parte delle azioni bancarie che </w:t>
      </w:r>
      <w:r w:rsidR="00D84106" w:rsidRPr="00361DF4">
        <w:rPr>
          <w:rFonts w:asciiTheme="minorHAnsi" w:hAnsiTheme="minorHAnsi" w:cstheme="minorHAnsi"/>
          <w:sz w:val="22"/>
          <w:szCs w:val="22"/>
          <w:lang w:val="it-IT"/>
        </w:rPr>
        <w:t xml:space="preserve">deteniamo </w:t>
      </w:r>
      <w:r w:rsidRPr="00361DF4">
        <w:rPr>
          <w:rFonts w:asciiTheme="minorHAnsi" w:hAnsiTheme="minorHAnsi" w:cstheme="minorHAnsi"/>
          <w:sz w:val="22"/>
          <w:szCs w:val="22"/>
          <w:lang w:val="it-IT"/>
        </w:rPr>
        <w:t xml:space="preserve">ha registrato un forte rimbalzo dai minimi – il che ci ha portato necessariamente a ridurre la nostra ponderazione su di esse nel corso del tempo e a </w:t>
      </w:r>
      <w:r w:rsidR="00D84106" w:rsidRPr="00361DF4">
        <w:rPr>
          <w:rFonts w:asciiTheme="minorHAnsi" w:hAnsiTheme="minorHAnsi" w:cstheme="minorHAnsi"/>
          <w:sz w:val="22"/>
          <w:szCs w:val="22"/>
          <w:lang w:val="it-IT"/>
        </w:rPr>
        <w:t xml:space="preserve">rinvestire </w:t>
      </w:r>
      <w:r w:rsidRPr="00361DF4">
        <w:rPr>
          <w:rFonts w:asciiTheme="minorHAnsi" w:hAnsiTheme="minorHAnsi" w:cstheme="minorHAnsi"/>
          <w:sz w:val="22"/>
          <w:szCs w:val="22"/>
          <w:lang w:val="it-IT"/>
        </w:rPr>
        <w:t xml:space="preserve">i proventi in altre aree del mercato sottovalutate. Ciò è stato facilitato dall’ampliamento dell’insieme delle opportunità </w:t>
      </w:r>
      <w:r w:rsidR="000A0D23" w:rsidRPr="00361DF4">
        <w:rPr>
          <w:rFonts w:asciiTheme="minorHAnsi" w:hAnsiTheme="minorHAnsi" w:cstheme="minorHAnsi"/>
          <w:sz w:val="22"/>
          <w:szCs w:val="22"/>
          <w:lang w:val="it-IT"/>
        </w:rPr>
        <w:t>V</w:t>
      </w:r>
      <w:r w:rsidRPr="00361DF4">
        <w:rPr>
          <w:rFonts w:asciiTheme="minorHAnsi" w:hAnsiTheme="minorHAnsi" w:cstheme="minorHAnsi"/>
          <w:sz w:val="22"/>
          <w:szCs w:val="22"/>
          <w:lang w:val="it-IT"/>
        </w:rPr>
        <w:t>alue.</w:t>
      </w:r>
    </w:p>
    <w:p w14:paraId="6176951A" w14:textId="5B664AF6" w:rsidR="00E6033D" w:rsidRPr="00361DF4" w:rsidRDefault="00E6033D" w:rsidP="00E6033D">
      <w:pPr>
        <w:pStyle w:val="typographyparagraph-sc-numijp-1"/>
        <w:tabs>
          <w:tab w:val="left" w:pos="567"/>
        </w:tabs>
        <w:rPr>
          <w:rFonts w:asciiTheme="minorHAnsi" w:hAnsiTheme="minorHAnsi" w:cstheme="minorHAnsi"/>
          <w:sz w:val="22"/>
          <w:szCs w:val="22"/>
          <w:lang w:val="it-IT"/>
        </w:rPr>
      </w:pPr>
      <w:r w:rsidRPr="00361DF4">
        <w:rPr>
          <w:rFonts w:asciiTheme="minorHAnsi" w:hAnsiTheme="minorHAnsi" w:cstheme="minorHAnsi"/>
          <w:sz w:val="22"/>
          <w:szCs w:val="22"/>
          <w:lang w:val="it-IT"/>
        </w:rPr>
        <w:t xml:space="preserve">Alla vigilia della pandemia, </w:t>
      </w:r>
      <w:r w:rsidR="000A0D23" w:rsidRPr="00361DF4">
        <w:rPr>
          <w:rFonts w:asciiTheme="minorHAnsi" w:hAnsiTheme="minorHAnsi" w:cstheme="minorHAnsi"/>
          <w:sz w:val="22"/>
          <w:szCs w:val="22"/>
          <w:lang w:val="it-IT"/>
        </w:rPr>
        <w:t xml:space="preserve">a </w:t>
      </w:r>
      <w:r w:rsidRPr="00361DF4">
        <w:rPr>
          <w:rFonts w:asciiTheme="minorHAnsi" w:hAnsiTheme="minorHAnsi" w:cstheme="minorHAnsi"/>
          <w:sz w:val="22"/>
          <w:szCs w:val="22"/>
          <w:lang w:val="it-IT"/>
        </w:rPr>
        <w:t xml:space="preserve">marzo 2020, il nostro portafoglio globale aveva un peso combinato del 40% in </w:t>
      </w:r>
      <w:r w:rsidRPr="00361DF4">
        <w:rPr>
          <w:rFonts w:asciiTheme="minorHAnsi" w:hAnsiTheme="minorHAnsi" w:cstheme="minorHAnsi"/>
          <w:b/>
          <w:bCs/>
          <w:sz w:val="22"/>
          <w:szCs w:val="22"/>
          <w:lang w:val="it-IT"/>
        </w:rPr>
        <w:t>banche, energia e materiali</w:t>
      </w:r>
      <w:r w:rsidRPr="00361DF4">
        <w:rPr>
          <w:rFonts w:asciiTheme="minorHAnsi" w:hAnsiTheme="minorHAnsi" w:cstheme="minorHAnsi"/>
          <w:sz w:val="22"/>
          <w:szCs w:val="22"/>
          <w:lang w:val="it-IT"/>
        </w:rPr>
        <w:t>. Oggi l’esposizione combinata a questi settori è inferiore al 20%</w:t>
      </w:r>
      <w:r w:rsidR="00D045F9">
        <w:rPr>
          <w:rFonts w:asciiTheme="minorHAnsi" w:hAnsiTheme="minorHAnsi" w:cstheme="minorHAnsi"/>
          <w:sz w:val="22"/>
          <w:szCs w:val="22"/>
          <w:lang w:val="it-IT"/>
        </w:rPr>
        <w:t>, settori ch</w:t>
      </w:r>
      <w:r w:rsidRPr="00361DF4">
        <w:rPr>
          <w:rFonts w:asciiTheme="minorHAnsi" w:hAnsiTheme="minorHAnsi" w:cstheme="minorHAnsi"/>
          <w:sz w:val="22"/>
          <w:szCs w:val="22"/>
          <w:lang w:val="it-IT"/>
        </w:rPr>
        <w:t xml:space="preserve">e rappresentano </w:t>
      </w:r>
      <w:r w:rsidRPr="00361DF4">
        <w:rPr>
          <w:rFonts w:asciiTheme="minorHAnsi" w:hAnsiTheme="minorHAnsi" w:cstheme="minorHAnsi"/>
          <w:b/>
          <w:bCs/>
          <w:sz w:val="22"/>
          <w:szCs w:val="22"/>
          <w:lang w:val="it-IT"/>
        </w:rPr>
        <w:t>le tre maggiori riduzioni delle ponderazioni settoriali degli ultimi tre anni</w:t>
      </w:r>
      <w:r w:rsidRPr="00361DF4">
        <w:rPr>
          <w:rFonts w:asciiTheme="minorHAnsi" w:hAnsiTheme="minorHAnsi" w:cstheme="minorHAnsi"/>
          <w:sz w:val="22"/>
          <w:szCs w:val="22"/>
          <w:lang w:val="it-IT"/>
        </w:rPr>
        <w:t xml:space="preserve">. Al contrario, i settori in cui abbiamo </w:t>
      </w:r>
      <w:r w:rsidRPr="00361DF4">
        <w:rPr>
          <w:rFonts w:asciiTheme="minorHAnsi" w:hAnsiTheme="minorHAnsi" w:cstheme="minorHAnsi"/>
          <w:b/>
          <w:bCs/>
          <w:sz w:val="22"/>
          <w:szCs w:val="22"/>
          <w:lang w:val="it-IT"/>
        </w:rPr>
        <w:t>aumentato maggiormente l’esposizione sono le telecomunicazioni e i prodotti farmaceutici</w:t>
      </w:r>
      <w:r w:rsidRPr="00361DF4">
        <w:rPr>
          <w:rFonts w:asciiTheme="minorHAnsi" w:hAnsiTheme="minorHAnsi" w:cstheme="minorHAnsi"/>
          <w:sz w:val="22"/>
          <w:szCs w:val="22"/>
          <w:lang w:val="it-IT"/>
        </w:rPr>
        <w:t>, due settori tradizionalmente difensivi.</w:t>
      </w:r>
    </w:p>
    <w:p w14:paraId="2EA37AB0" w14:textId="00EA2BF3" w:rsidR="00E6033D" w:rsidRPr="00361DF4" w:rsidRDefault="00D84106" w:rsidP="00B04394">
      <w:pPr>
        <w:pStyle w:val="typographyparagraph-sc-numijp-1"/>
        <w:tabs>
          <w:tab w:val="left" w:pos="567"/>
        </w:tabs>
        <w:contextualSpacing/>
        <w:rPr>
          <w:rStyle w:val="Enfasigrassetto"/>
          <w:rFonts w:asciiTheme="minorHAnsi" w:hAnsiTheme="minorHAnsi" w:cstheme="minorHAnsi"/>
          <w:sz w:val="22"/>
          <w:szCs w:val="22"/>
          <w:lang w:val="it-IT"/>
        </w:rPr>
      </w:pPr>
      <w:r w:rsidRPr="00361DF4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  <w:u w:val="single"/>
          <w:lang w:val="it-IT"/>
        </w:rPr>
        <w:t>Dove trovare opportunità interessanti</w:t>
      </w:r>
    </w:p>
    <w:p w14:paraId="67728642" w14:textId="52B839BF" w:rsidR="00BA744A" w:rsidRPr="00361DF4" w:rsidRDefault="00BA744A" w:rsidP="00BA744A">
      <w:pPr>
        <w:pStyle w:val="typographyparagraph-sc-numijp-1"/>
        <w:tabs>
          <w:tab w:val="left" w:pos="567"/>
        </w:tabs>
        <w:rPr>
          <w:rFonts w:asciiTheme="minorHAnsi" w:hAnsiTheme="minorHAnsi" w:cstheme="minorHAnsi"/>
          <w:sz w:val="22"/>
          <w:szCs w:val="22"/>
          <w:lang w:val="it-IT"/>
        </w:rPr>
      </w:pPr>
      <w:r w:rsidRPr="00361DF4">
        <w:rPr>
          <w:rFonts w:asciiTheme="minorHAnsi" w:hAnsiTheme="minorHAnsi" w:cstheme="minorHAnsi"/>
          <w:sz w:val="22"/>
          <w:szCs w:val="22"/>
          <w:lang w:val="it-IT"/>
        </w:rPr>
        <w:t xml:space="preserve">Un’ultima osservazione su questo nuovo “paradigma” dei tassi di interesse è che </w:t>
      </w:r>
      <w:r w:rsidRPr="00361DF4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l’incertezza tende ad essere positiva per uno stile di investimento </w:t>
      </w:r>
      <w:r w:rsidR="000A0D23" w:rsidRPr="00361DF4">
        <w:rPr>
          <w:rFonts w:asciiTheme="minorHAnsi" w:hAnsiTheme="minorHAnsi" w:cstheme="minorHAnsi"/>
          <w:b/>
          <w:bCs/>
          <w:sz w:val="22"/>
          <w:szCs w:val="22"/>
          <w:lang w:val="it-IT"/>
        </w:rPr>
        <w:t>V</w:t>
      </w:r>
      <w:r w:rsidRPr="00361DF4">
        <w:rPr>
          <w:rFonts w:asciiTheme="minorHAnsi" w:hAnsiTheme="minorHAnsi" w:cstheme="minorHAnsi"/>
          <w:b/>
          <w:bCs/>
          <w:sz w:val="22"/>
          <w:szCs w:val="22"/>
          <w:lang w:val="it-IT"/>
        </w:rPr>
        <w:t>alue</w:t>
      </w:r>
      <w:r w:rsidRPr="00361DF4">
        <w:rPr>
          <w:rFonts w:asciiTheme="minorHAnsi" w:hAnsiTheme="minorHAnsi" w:cstheme="minorHAnsi"/>
          <w:sz w:val="22"/>
          <w:szCs w:val="22"/>
          <w:lang w:val="it-IT"/>
        </w:rPr>
        <w:t xml:space="preserve">. Quando il mercato operava in un </w:t>
      </w:r>
      <w:r w:rsidR="000A0D23" w:rsidRPr="00361DF4">
        <w:rPr>
          <w:rFonts w:asciiTheme="minorHAnsi" w:hAnsiTheme="minorHAnsi" w:cstheme="minorHAnsi"/>
          <w:sz w:val="22"/>
          <w:szCs w:val="22"/>
          <w:lang w:val="it-IT"/>
        </w:rPr>
        <w:t xml:space="preserve">contesto </w:t>
      </w:r>
      <w:r w:rsidRPr="00361DF4">
        <w:rPr>
          <w:rFonts w:asciiTheme="minorHAnsi" w:hAnsiTheme="minorHAnsi" w:cstheme="minorHAnsi"/>
          <w:sz w:val="22"/>
          <w:szCs w:val="22"/>
          <w:lang w:val="it-IT"/>
        </w:rPr>
        <w:t>artificialmente sostenuto e protetto dal quantitative easing, con tassi d'interesse più bassi e più a lungo e bassa volatilità, si creavano poche nuove opportunità d’investimento e la performance poteva di conseguenza risentirne.</w:t>
      </w:r>
    </w:p>
    <w:p w14:paraId="2F957B54" w14:textId="7E569635" w:rsidR="00BA744A" w:rsidRPr="00361DF4" w:rsidRDefault="00BA744A" w:rsidP="00BA744A">
      <w:pPr>
        <w:pStyle w:val="typographyparagraph-sc-numijp-1"/>
        <w:tabs>
          <w:tab w:val="left" w:pos="567"/>
        </w:tabs>
        <w:rPr>
          <w:rFonts w:asciiTheme="minorHAnsi" w:hAnsiTheme="minorHAnsi" w:cstheme="minorHAnsi"/>
          <w:sz w:val="22"/>
          <w:szCs w:val="22"/>
          <w:lang w:val="it-IT"/>
        </w:rPr>
      </w:pPr>
      <w:r w:rsidRPr="00361DF4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D’altro canto, </w:t>
      </w:r>
      <w:r w:rsidRPr="00361DF4">
        <w:rPr>
          <w:rFonts w:asciiTheme="minorHAnsi" w:hAnsiTheme="minorHAnsi" w:cstheme="minorHAnsi"/>
          <w:b/>
          <w:bCs/>
          <w:sz w:val="22"/>
          <w:szCs w:val="22"/>
          <w:lang w:val="it-IT"/>
        </w:rPr>
        <w:t>quando l’incertezza aumenta e l’emo</w:t>
      </w:r>
      <w:r w:rsidR="00D84106" w:rsidRPr="00361DF4">
        <w:rPr>
          <w:rFonts w:asciiTheme="minorHAnsi" w:hAnsiTheme="minorHAnsi" w:cstheme="minorHAnsi"/>
          <w:b/>
          <w:bCs/>
          <w:sz w:val="22"/>
          <w:szCs w:val="22"/>
          <w:lang w:val="it-IT"/>
        </w:rPr>
        <w:t>tività</w:t>
      </w:r>
      <w:r w:rsidRPr="00361DF4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regna, quando la paura (o l’avidità) prende il sopravvento, i prezzi delle azioni si muovono più di quanto sia giustificato dai fondamentali, creando così delle opportunità.</w:t>
      </w:r>
      <w:r w:rsidRPr="00361DF4">
        <w:rPr>
          <w:rFonts w:asciiTheme="minorHAnsi" w:hAnsiTheme="minorHAnsi" w:cstheme="minorHAnsi"/>
          <w:sz w:val="22"/>
          <w:szCs w:val="22"/>
          <w:lang w:val="it-IT"/>
        </w:rPr>
        <w:t xml:space="preserve"> Periodi come il crollo delle dotcom nel 2000, la crisi finanziaria globale del 2008/09 e la crisi di Covid hanno creato le condizioni per ottenere </w:t>
      </w:r>
      <w:r w:rsidR="000A0D23" w:rsidRPr="00361DF4">
        <w:rPr>
          <w:rFonts w:asciiTheme="minorHAnsi" w:hAnsiTheme="minorHAnsi" w:cstheme="minorHAnsi"/>
          <w:sz w:val="22"/>
          <w:szCs w:val="22"/>
          <w:lang w:val="it-IT"/>
        </w:rPr>
        <w:t xml:space="preserve">solidi </w:t>
      </w:r>
      <w:r w:rsidRPr="00361DF4">
        <w:rPr>
          <w:rFonts w:asciiTheme="minorHAnsi" w:hAnsiTheme="minorHAnsi" w:cstheme="minorHAnsi"/>
          <w:sz w:val="22"/>
          <w:szCs w:val="22"/>
          <w:lang w:val="it-IT"/>
        </w:rPr>
        <w:t xml:space="preserve">rendimenti per gli investitori </w:t>
      </w:r>
      <w:r w:rsidR="002959EC">
        <w:rPr>
          <w:rFonts w:asciiTheme="minorHAnsi" w:hAnsiTheme="minorHAnsi" w:cstheme="minorHAnsi"/>
          <w:sz w:val="22"/>
          <w:szCs w:val="22"/>
          <w:lang w:val="it-IT"/>
        </w:rPr>
        <w:t>V</w:t>
      </w:r>
      <w:r w:rsidR="002959EC" w:rsidRPr="00361DF4">
        <w:rPr>
          <w:rFonts w:asciiTheme="minorHAnsi" w:hAnsiTheme="minorHAnsi" w:cstheme="minorHAnsi"/>
          <w:sz w:val="22"/>
          <w:szCs w:val="22"/>
          <w:lang w:val="it-IT"/>
        </w:rPr>
        <w:t>alue</w:t>
      </w:r>
      <w:r w:rsidRPr="00361DF4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1D2D3F3E" w14:textId="73F3F6BE" w:rsidR="00BA744A" w:rsidRPr="00BE0EB6" w:rsidRDefault="00BA744A" w:rsidP="00BA744A">
      <w:pPr>
        <w:pStyle w:val="typographyparagraph-sc-numijp-1"/>
        <w:tabs>
          <w:tab w:val="left" w:pos="567"/>
        </w:tabs>
        <w:rPr>
          <w:rFonts w:asciiTheme="minorHAnsi" w:hAnsiTheme="minorHAnsi" w:cstheme="minorHAnsi"/>
          <w:sz w:val="22"/>
          <w:szCs w:val="22"/>
          <w:lang w:val="it-IT"/>
        </w:rPr>
      </w:pPr>
      <w:r w:rsidRPr="00361DF4">
        <w:rPr>
          <w:rFonts w:asciiTheme="minorHAnsi" w:hAnsiTheme="minorHAnsi" w:cstheme="minorHAnsi"/>
          <w:sz w:val="22"/>
          <w:szCs w:val="22"/>
          <w:lang w:val="it-IT"/>
        </w:rPr>
        <w:t xml:space="preserve">Purtroppo, non esiste un manuale per stabilire quali titoli o settori comprare o vendere. Tutto ciò che possiamo fare è cercare di farci guidare dalle valutazioni e </w:t>
      </w:r>
      <w:r w:rsidRPr="00361DF4">
        <w:rPr>
          <w:rFonts w:asciiTheme="minorHAnsi" w:hAnsiTheme="minorHAnsi" w:cstheme="minorHAnsi"/>
          <w:b/>
          <w:bCs/>
          <w:sz w:val="22"/>
          <w:szCs w:val="22"/>
          <w:lang w:val="it-IT"/>
        </w:rPr>
        <w:t>costruire portafogli diversificati che non siano legati a un settore, a un tema o a un risultato macroeconomico</w:t>
      </w:r>
      <w:r w:rsidRPr="00361DF4">
        <w:rPr>
          <w:rFonts w:asciiTheme="minorHAnsi" w:hAnsiTheme="minorHAnsi" w:cstheme="minorHAnsi"/>
          <w:sz w:val="22"/>
          <w:szCs w:val="22"/>
          <w:lang w:val="it-IT"/>
        </w:rPr>
        <w:t xml:space="preserve">. Nel corso del tempo, questo semplice obiettivo e questo semplice processo dovrebbero consentire di </w:t>
      </w:r>
      <w:r w:rsidR="000A0D23" w:rsidRPr="00361DF4">
        <w:rPr>
          <w:rFonts w:asciiTheme="minorHAnsi" w:hAnsiTheme="minorHAnsi" w:cstheme="minorHAnsi"/>
          <w:sz w:val="22"/>
          <w:szCs w:val="22"/>
          <w:lang w:val="it-IT"/>
        </w:rPr>
        <w:t>generare solidi</w:t>
      </w:r>
      <w:r w:rsidRPr="00361DF4">
        <w:rPr>
          <w:rFonts w:asciiTheme="minorHAnsi" w:hAnsiTheme="minorHAnsi" w:cstheme="minorHAnsi"/>
          <w:sz w:val="22"/>
          <w:szCs w:val="22"/>
          <w:lang w:val="it-IT"/>
        </w:rPr>
        <w:t xml:space="preserve"> rendimenti per gli investitori.</w:t>
      </w:r>
    </w:p>
    <w:p w14:paraId="6BDFDE00" w14:textId="77777777" w:rsidR="00BA744A" w:rsidRPr="00BE0EB6" w:rsidRDefault="00BA744A" w:rsidP="00BA744A">
      <w:pPr>
        <w:pStyle w:val="typographyparagraph-sc-numijp-1"/>
        <w:tabs>
          <w:tab w:val="left" w:pos="567"/>
        </w:tabs>
        <w:rPr>
          <w:rFonts w:asciiTheme="minorHAnsi" w:hAnsiTheme="minorHAnsi" w:cstheme="minorHAnsi"/>
          <w:sz w:val="22"/>
          <w:szCs w:val="22"/>
          <w:lang w:val="it-IT"/>
        </w:rPr>
      </w:pPr>
    </w:p>
    <w:p w14:paraId="065493D9" w14:textId="77777777" w:rsidR="00BA744A" w:rsidRPr="00BE0EB6" w:rsidRDefault="00BA744A" w:rsidP="00BA744A">
      <w:pPr>
        <w:pStyle w:val="typographyparagraph-sc-numijp-1"/>
        <w:tabs>
          <w:tab w:val="left" w:pos="567"/>
        </w:tabs>
        <w:rPr>
          <w:rFonts w:asciiTheme="minorHAnsi" w:hAnsiTheme="minorHAnsi" w:cstheme="minorHAnsi"/>
          <w:sz w:val="22"/>
          <w:szCs w:val="22"/>
          <w:lang w:val="it-IT"/>
        </w:rPr>
      </w:pPr>
    </w:p>
    <w:p w14:paraId="2DD94B18" w14:textId="4DFBDD5D" w:rsidR="00B04394" w:rsidRPr="00BE0EB6" w:rsidRDefault="00B04394" w:rsidP="00BA744A">
      <w:pPr>
        <w:pStyle w:val="typographyparagraph-sc-numijp-1"/>
        <w:tabs>
          <w:tab w:val="left" w:pos="567"/>
        </w:tabs>
        <w:rPr>
          <w:rFonts w:asciiTheme="minorHAnsi" w:hAnsiTheme="minorHAnsi" w:cstheme="minorHAnsi"/>
          <w:sz w:val="22"/>
          <w:szCs w:val="22"/>
          <w:lang w:val="it-IT"/>
        </w:rPr>
      </w:pPr>
    </w:p>
    <w:sectPr w:rsidR="00B04394" w:rsidRPr="00BE0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611"/>
    <w:rsid w:val="000A0D23"/>
    <w:rsid w:val="001E5611"/>
    <w:rsid w:val="001F1E0E"/>
    <w:rsid w:val="00212737"/>
    <w:rsid w:val="0025078D"/>
    <w:rsid w:val="002959EC"/>
    <w:rsid w:val="002F5B64"/>
    <w:rsid w:val="00361DF4"/>
    <w:rsid w:val="003A407E"/>
    <w:rsid w:val="006479ED"/>
    <w:rsid w:val="006E49B2"/>
    <w:rsid w:val="009C3375"/>
    <w:rsid w:val="00B04394"/>
    <w:rsid w:val="00B200E9"/>
    <w:rsid w:val="00BA744A"/>
    <w:rsid w:val="00BC4C71"/>
    <w:rsid w:val="00BE0EB6"/>
    <w:rsid w:val="00BE1BCF"/>
    <w:rsid w:val="00D045F9"/>
    <w:rsid w:val="00D840ED"/>
    <w:rsid w:val="00D84106"/>
    <w:rsid w:val="00DA60FE"/>
    <w:rsid w:val="00DF6B97"/>
    <w:rsid w:val="00E6033D"/>
    <w:rsid w:val="00EC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042A"/>
  <w15:chartTrackingRefBased/>
  <w15:docId w15:val="{9261EB1C-441E-AC4A-ACB5-C1198746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0439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0439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customStyle="1" w:styleId="typographyparagraph-sc-numijp-1">
    <w:name w:val="typography__paragraph-sc-numijp-1"/>
    <w:basedOn w:val="Normale"/>
    <w:rsid w:val="00B0439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Enfasicorsivo">
    <w:name w:val="Emphasis"/>
    <w:basedOn w:val="Carpredefinitoparagrafo"/>
    <w:uiPriority w:val="20"/>
    <w:qFormat/>
    <w:rsid w:val="00B04394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B0439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04394"/>
    <w:rPr>
      <w:b/>
      <w:bCs/>
    </w:rPr>
  </w:style>
  <w:style w:type="paragraph" w:styleId="Revisione">
    <w:name w:val="Revision"/>
    <w:hidden/>
    <w:uiPriority w:val="99"/>
    <w:semiHidden/>
    <w:rsid w:val="00BE0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60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Sarah Tuggey</dc:creator>
  <cp:keywords/>
  <dc:description/>
  <cp:lastModifiedBy>Diana Ferla</cp:lastModifiedBy>
  <cp:revision>4</cp:revision>
  <dcterms:created xsi:type="dcterms:W3CDTF">2023-06-12T09:13:00Z</dcterms:created>
  <dcterms:modified xsi:type="dcterms:W3CDTF">2023-06-12T12:50:00Z</dcterms:modified>
</cp:coreProperties>
</file>