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357D" w14:textId="575B6F24" w:rsidR="00767035" w:rsidRPr="00247EAD" w:rsidRDefault="00217EB0" w:rsidP="00A53A39">
      <w:pPr>
        <w:pStyle w:val="Default"/>
        <w:jc w:val="center"/>
        <w:rPr>
          <w:rFonts w:ascii="Bookman Old Style" w:eastAsia="Calibri" w:hAnsi="Bookman Old Style"/>
          <w:b/>
          <w:bCs/>
          <w:color w:val="auto"/>
          <w:sz w:val="30"/>
          <w:szCs w:val="30"/>
          <w:u w:val="single"/>
        </w:rPr>
      </w:pPr>
      <w:r w:rsidRPr="0084343C">
        <w:rPr>
          <w:rFonts w:ascii="Bookman Old Style" w:hAnsi="Bookman Old Style"/>
          <w:b/>
          <w:bCs/>
          <w:color w:val="0067B4"/>
          <w:sz w:val="30"/>
          <w:szCs w:val="30"/>
        </w:rPr>
        <w:t xml:space="preserve">ECONOMIA, BCC </w:t>
      </w:r>
      <w:r w:rsidR="007D2E7D">
        <w:rPr>
          <w:rFonts w:ascii="Bookman Old Style" w:hAnsi="Bookman Old Style"/>
          <w:b/>
          <w:bCs/>
          <w:color w:val="0067B4"/>
          <w:sz w:val="30"/>
          <w:szCs w:val="30"/>
        </w:rPr>
        <w:t>DI</w:t>
      </w:r>
      <w:r w:rsidR="00A46A08">
        <w:rPr>
          <w:rFonts w:ascii="Bookman Old Style" w:hAnsi="Bookman Old Style"/>
          <w:b/>
          <w:bCs/>
          <w:color w:val="0067B4"/>
          <w:sz w:val="30"/>
          <w:szCs w:val="30"/>
        </w:rPr>
        <w:t xml:space="preserve"> </w:t>
      </w:r>
      <w:r w:rsidRPr="0084343C">
        <w:rPr>
          <w:rFonts w:ascii="Bookman Old Style" w:hAnsi="Bookman Old Style"/>
          <w:b/>
          <w:bCs/>
          <w:color w:val="0067B4"/>
          <w:sz w:val="30"/>
          <w:szCs w:val="30"/>
        </w:rPr>
        <w:t>PACHINO</w:t>
      </w:r>
      <w:r w:rsidR="00247EAD" w:rsidRPr="0084343C">
        <w:rPr>
          <w:rFonts w:ascii="Bookman Old Style" w:hAnsi="Bookman Old Style"/>
          <w:b/>
          <w:bCs/>
          <w:color w:val="0067B4"/>
          <w:sz w:val="30"/>
          <w:szCs w:val="30"/>
        </w:rPr>
        <w:br/>
      </w:r>
      <w:r w:rsidRPr="00247EAD">
        <w:rPr>
          <w:rFonts w:ascii="Bookman Old Style" w:hAnsi="Bookman Old Style"/>
          <w:b/>
          <w:bCs/>
          <w:color w:val="auto"/>
          <w:sz w:val="30"/>
          <w:szCs w:val="30"/>
        </w:rPr>
        <w:t xml:space="preserve"> APPROVATO BILANCIO 2022</w:t>
      </w:r>
      <w:r w:rsidR="00434826" w:rsidRPr="00247EAD">
        <w:rPr>
          <w:rFonts w:ascii="Bookman Old Style" w:hAnsi="Bookman Old Style"/>
          <w:b/>
          <w:bCs/>
          <w:color w:val="auto"/>
          <w:sz w:val="30"/>
          <w:szCs w:val="30"/>
        </w:rPr>
        <w:t xml:space="preserve">: </w:t>
      </w:r>
      <w:r w:rsidRPr="00247EAD">
        <w:rPr>
          <w:rFonts w:ascii="Bookman Old Style" w:eastAsia="Calibri" w:hAnsi="Bookman Old Style"/>
          <w:b/>
          <w:bCs/>
          <w:color w:val="auto"/>
          <w:sz w:val="30"/>
          <w:szCs w:val="30"/>
        </w:rPr>
        <w:t>3,7 MLN DI UTILI</w:t>
      </w:r>
    </w:p>
    <w:p w14:paraId="48448658" w14:textId="67A86379" w:rsidR="00767035" w:rsidRPr="00247EAD" w:rsidRDefault="00CB0E4F" w:rsidP="00EA131D">
      <w:pPr>
        <w:spacing w:after="0" w:line="240" w:lineRule="auto"/>
        <w:jc w:val="center"/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</w:pPr>
      <w:r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Il neodirettore Massimo Sena: «</w:t>
      </w:r>
      <w:r w:rsidR="00767035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 xml:space="preserve">La raccolta </w:t>
      </w:r>
      <w:r w:rsidR="0016540E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supera</w:t>
      </w:r>
      <w:r w:rsidR="00767035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 xml:space="preserve"> i </w:t>
      </w:r>
      <w:r w:rsidR="00767035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64</w:t>
      </w:r>
      <w:r w:rsidR="0016540E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3</w:t>
      </w:r>
      <w:r w:rsidR="00767035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 xml:space="preserve"> m</w:t>
      </w:r>
      <w:r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ln</w:t>
      </w:r>
      <w:r w:rsidR="00767035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 xml:space="preserve"> di euro</w:t>
      </w:r>
      <w:r w:rsidR="00767035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 xml:space="preserve"> e gli impieghi si attestano a </w:t>
      </w:r>
      <w:r w:rsidR="00767035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34</w:t>
      </w:r>
      <w:r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2,6</w:t>
      </w:r>
      <w:r w:rsidR="00767035"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 xml:space="preserve"> m</w:t>
      </w:r>
      <w:r w:rsidRPr="00247EAD">
        <w:rPr>
          <w:rFonts w:ascii="Bookman Old Style" w:eastAsia="MS PGothic" w:hAnsi="Bookman Old Style" w:cs="Arial"/>
          <w:b/>
          <w:bCs/>
          <w:i/>
          <w:iCs/>
          <w:kern w:val="24"/>
          <w:u w:val="single"/>
          <w:lang w:eastAsia="it-IT"/>
        </w:rPr>
        <w:t>ln</w:t>
      </w:r>
      <w:r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, a conferma della vicinanza della banca al territorio</w:t>
      </w:r>
      <w:r w:rsidR="0016540E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: i</w:t>
      </w:r>
      <w:r w:rsidR="0057032A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l positivo</w:t>
      </w:r>
      <w:r w:rsidR="00A53A39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 xml:space="preserve"> </w:t>
      </w:r>
      <w:r w:rsidR="0057032A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andamento riflette soprattutto la capacità di resilienza della società in cui oper</w:t>
      </w:r>
      <w:r w:rsidR="0016540E"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iamo</w:t>
      </w:r>
      <w:r w:rsidRPr="00247EAD">
        <w:rPr>
          <w:rFonts w:ascii="Bookman Old Style" w:eastAsia="MS PGothic" w:hAnsi="Bookman Old Style" w:cs="Arial"/>
          <w:i/>
          <w:iCs/>
          <w:kern w:val="24"/>
          <w:u w:val="single"/>
          <w:lang w:eastAsia="it-IT"/>
        </w:rPr>
        <w:t>»</w:t>
      </w:r>
    </w:p>
    <w:p w14:paraId="4A7FC9E1" w14:textId="77777777" w:rsidR="00767035" w:rsidRPr="00092352" w:rsidRDefault="00767035" w:rsidP="00767035">
      <w:pPr>
        <w:spacing w:after="0" w:line="300" w:lineRule="exact"/>
        <w:rPr>
          <w:rFonts w:ascii="Bookman Old Style" w:hAnsi="Bookman Old Style" w:cs="Arial"/>
          <w:b/>
          <w:bCs/>
          <w:color w:val="003594"/>
          <w:sz w:val="24"/>
          <w:szCs w:val="24"/>
        </w:rPr>
      </w:pPr>
    </w:p>
    <w:p w14:paraId="09C7D278" w14:textId="7A6A12ED" w:rsidR="000657DE" w:rsidRPr="0084343C" w:rsidRDefault="00217EB0" w:rsidP="0084343C">
      <w:pPr>
        <w:spacing w:after="120" w:line="240" w:lineRule="auto"/>
        <w:rPr>
          <w:rFonts w:ascii="Bookman Old Style" w:hAnsi="Bookman Old Style" w:cs="Arial"/>
          <w:sz w:val="23"/>
          <w:szCs w:val="23"/>
        </w:rPr>
      </w:pPr>
      <w:r w:rsidRPr="0084343C">
        <w:rPr>
          <w:rFonts w:ascii="Bookman Old Style" w:hAnsi="Bookman Old Style" w:cs="Arial"/>
          <w:sz w:val="23"/>
          <w:szCs w:val="23"/>
        </w:rPr>
        <w:t xml:space="preserve">«L’evoluzione </w:t>
      </w:r>
      <w:r w:rsidR="0016537E">
        <w:rPr>
          <w:rFonts w:ascii="Bookman Old Style" w:hAnsi="Bookman Old Style" w:cs="Arial"/>
          <w:sz w:val="23"/>
          <w:szCs w:val="23"/>
        </w:rPr>
        <w:t>della</w:t>
      </w:r>
      <w:r w:rsidRPr="0084343C">
        <w:rPr>
          <w:rFonts w:ascii="Bookman Old Style" w:hAnsi="Bookman Old Style" w:cs="Arial"/>
          <w:sz w:val="23"/>
          <w:szCs w:val="23"/>
        </w:rPr>
        <w:t xml:space="preserve"> </w:t>
      </w:r>
      <w:r w:rsidRPr="0084343C">
        <w:rPr>
          <w:rFonts w:ascii="Bookman Old Style" w:hAnsi="Bookman Old Style" w:cs="Arial"/>
          <w:b/>
          <w:bCs/>
          <w:sz w:val="23"/>
          <w:szCs w:val="23"/>
        </w:rPr>
        <w:t>B</w:t>
      </w:r>
      <w:r w:rsidR="0016537E">
        <w:rPr>
          <w:rFonts w:ascii="Bookman Old Style" w:hAnsi="Bookman Old Style" w:cs="Arial"/>
          <w:b/>
          <w:bCs/>
          <w:sz w:val="23"/>
          <w:szCs w:val="23"/>
        </w:rPr>
        <w:t>anca di Credito Cooperativo di</w:t>
      </w:r>
      <w:r w:rsidRPr="0084343C">
        <w:rPr>
          <w:rFonts w:ascii="Bookman Old Style" w:hAnsi="Bookman Old Style" w:cs="Arial"/>
          <w:b/>
          <w:bCs/>
          <w:sz w:val="23"/>
          <w:szCs w:val="23"/>
        </w:rPr>
        <w:t xml:space="preserve"> Pachino</w:t>
      </w:r>
      <w:r w:rsidRPr="0084343C">
        <w:rPr>
          <w:rFonts w:ascii="Bookman Old Style" w:hAnsi="Bookman Old Style" w:cs="Arial"/>
          <w:sz w:val="23"/>
          <w:szCs w:val="23"/>
        </w:rPr>
        <w:t xml:space="preserve"> è la conseguenza delle scelte adottate dal Consiglio di Amministrazione, che si sono tradotte in corrette strategie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 e che hanno consentito alla nostra realtà </w:t>
      </w:r>
      <w:r w:rsidRPr="0084343C">
        <w:rPr>
          <w:rFonts w:ascii="Bookman Old Style" w:hAnsi="Bookman Old Style" w:cs="Arial"/>
          <w:sz w:val="23"/>
          <w:szCs w:val="23"/>
        </w:rPr>
        <w:t xml:space="preserve">di raggiungere tre obiettivi: il </w:t>
      </w:r>
      <w:r w:rsidRPr="0084343C">
        <w:rPr>
          <w:rFonts w:ascii="Bookman Old Style" w:hAnsi="Bookman Old Style" w:cs="Arial"/>
          <w:b/>
          <w:bCs/>
          <w:sz w:val="23"/>
          <w:szCs w:val="23"/>
          <w:u w:val="single"/>
        </w:rPr>
        <w:t>consolidamento</w:t>
      </w:r>
      <w:r w:rsidRPr="0084343C">
        <w:rPr>
          <w:rFonts w:ascii="Bookman Old Style" w:hAnsi="Bookman Old Style" w:cs="Arial"/>
          <w:sz w:val="23"/>
          <w:szCs w:val="23"/>
        </w:rPr>
        <w:t xml:space="preserve"> ulteriore </w:t>
      </w:r>
      <w:r w:rsidR="00DB0843" w:rsidRPr="0084343C">
        <w:rPr>
          <w:rFonts w:ascii="Bookman Old Style" w:hAnsi="Bookman Old Style" w:cs="Arial"/>
          <w:sz w:val="23"/>
          <w:szCs w:val="23"/>
        </w:rPr>
        <w:t>de</w:t>
      </w:r>
      <w:r w:rsidRPr="0084343C">
        <w:rPr>
          <w:rFonts w:ascii="Bookman Old Style" w:hAnsi="Bookman Old Style" w:cs="Arial"/>
          <w:sz w:val="23"/>
          <w:szCs w:val="23"/>
        </w:rPr>
        <w:t xml:space="preserve">l nostro istituto di credito, la </w:t>
      </w:r>
      <w:r w:rsidRPr="0084343C">
        <w:rPr>
          <w:rFonts w:ascii="Bookman Old Style" w:hAnsi="Bookman Old Style" w:cs="Arial"/>
          <w:b/>
          <w:bCs/>
          <w:sz w:val="23"/>
          <w:szCs w:val="23"/>
          <w:u w:val="single"/>
        </w:rPr>
        <w:t>crescita territoriale</w:t>
      </w:r>
      <w:r w:rsidRPr="0084343C">
        <w:rPr>
          <w:rFonts w:ascii="Bookman Old Style" w:hAnsi="Bookman Old Style" w:cs="Arial"/>
          <w:sz w:val="23"/>
          <w:szCs w:val="23"/>
        </w:rPr>
        <w:t xml:space="preserve"> e il </w:t>
      </w:r>
      <w:r w:rsidRPr="0084343C">
        <w:rPr>
          <w:rFonts w:ascii="Bookman Old Style" w:hAnsi="Bookman Old Style" w:cs="Arial"/>
          <w:b/>
          <w:bCs/>
          <w:i/>
          <w:iCs/>
          <w:sz w:val="23"/>
          <w:szCs w:val="23"/>
        </w:rPr>
        <w:t>potenziamento dei servizi</w:t>
      </w:r>
      <w:r w:rsidRPr="0084343C">
        <w:rPr>
          <w:rFonts w:ascii="Bookman Old Style" w:hAnsi="Bookman Old Style" w:cs="Arial"/>
          <w:sz w:val="23"/>
          <w:szCs w:val="23"/>
        </w:rPr>
        <w:t xml:space="preserve">, </w:t>
      </w:r>
      <w:r w:rsidR="000657DE" w:rsidRPr="0084343C">
        <w:rPr>
          <w:rFonts w:ascii="Bookman Old Style" w:hAnsi="Bookman Old Style" w:cs="Arial"/>
          <w:sz w:val="23"/>
          <w:szCs w:val="23"/>
        </w:rPr>
        <w:t>permettendo</w:t>
      </w:r>
      <w:r w:rsidRPr="0084343C">
        <w:rPr>
          <w:rFonts w:ascii="Bookman Old Style" w:hAnsi="Bookman Old Style" w:cs="Arial"/>
          <w:sz w:val="23"/>
          <w:szCs w:val="23"/>
        </w:rPr>
        <w:t xml:space="preserve"> così alla nostra banca di diventare partner finanziario di riferimento in gran parte della Sicilia Orientale». </w:t>
      </w:r>
    </w:p>
    <w:p w14:paraId="5AF2BFC3" w14:textId="278DB522" w:rsidR="00217EB0" w:rsidRPr="0084343C" w:rsidRDefault="00217EB0" w:rsidP="0084343C">
      <w:pPr>
        <w:spacing w:after="120" w:line="240" w:lineRule="auto"/>
        <w:rPr>
          <w:rFonts w:ascii="Bookman Old Style" w:hAnsi="Bookman Old Style" w:cs="Arial"/>
          <w:sz w:val="23"/>
          <w:szCs w:val="23"/>
        </w:rPr>
      </w:pPr>
      <w:r w:rsidRPr="0084343C">
        <w:rPr>
          <w:rFonts w:ascii="Bookman Old Style" w:hAnsi="Bookman Old Style" w:cs="Arial"/>
          <w:sz w:val="23"/>
          <w:szCs w:val="23"/>
        </w:rPr>
        <w:t xml:space="preserve">A commentare i risultati 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è il nuovo direttore </w:t>
      </w:r>
      <w:r w:rsidR="000657DE" w:rsidRPr="0084343C">
        <w:rPr>
          <w:rFonts w:ascii="Bookman Old Style" w:hAnsi="Bookman Old Style" w:cs="Arial"/>
          <w:b/>
          <w:bCs/>
          <w:sz w:val="23"/>
          <w:szCs w:val="23"/>
        </w:rPr>
        <w:t>Massimo Sena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, arrivato alla guida della realtà </w:t>
      </w:r>
      <w:r w:rsidR="0084343C">
        <w:rPr>
          <w:rFonts w:ascii="Bookman Old Style" w:hAnsi="Bookman Old Style" w:cs="Arial"/>
          <w:sz w:val="23"/>
          <w:szCs w:val="23"/>
        </w:rPr>
        <w:t xml:space="preserve">siciliana 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che oggi, in netta espansione, conta </w:t>
      </w:r>
      <w:r w:rsidR="000657DE" w:rsidRPr="0084343C">
        <w:rPr>
          <w:rFonts w:ascii="Bookman Old Style" w:hAnsi="Bookman Old Style" w:cs="Arial"/>
          <w:b/>
          <w:bCs/>
          <w:sz w:val="23"/>
          <w:szCs w:val="23"/>
        </w:rPr>
        <w:t>19 filiali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 (</w:t>
      </w:r>
      <w:r w:rsidR="00535CD8" w:rsidRPr="0084343C">
        <w:rPr>
          <w:rFonts w:ascii="Bookman Old Style" w:hAnsi="Bookman Old Style" w:cs="Arial"/>
          <w:i/>
          <w:iCs/>
          <w:sz w:val="23"/>
          <w:szCs w:val="23"/>
        </w:rPr>
        <w:t xml:space="preserve">è presente </w:t>
      </w:r>
      <w:r w:rsidR="000657DE" w:rsidRPr="0084343C">
        <w:rPr>
          <w:rFonts w:ascii="Bookman Old Style" w:hAnsi="Bookman Old Style" w:cs="Arial"/>
          <w:i/>
          <w:iCs/>
          <w:sz w:val="23"/>
          <w:szCs w:val="23"/>
        </w:rPr>
        <w:t>in 4 province e 84 comuni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), </w:t>
      </w:r>
      <w:r w:rsidR="009B1CB4" w:rsidRPr="0084343C">
        <w:rPr>
          <w:rFonts w:ascii="Bookman Old Style" w:hAnsi="Bookman Old Style" w:cs="Arial"/>
          <w:sz w:val="23"/>
          <w:szCs w:val="23"/>
        </w:rPr>
        <w:t xml:space="preserve">quasi </w:t>
      </w:r>
      <w:r w:rsidR="000657DE" w:rsidRPr="0084343C">
        <w:rPr>
          <w:rFonts w:ascii="Bookman Old Style" w:hAnsi="Bookman Old Style" w:cs="Arial"/>
          <w:b/>
          <w:bCs/>
          <w:sz w:val="23"/>
          <w:szCs w:val="23"/>
        </w:rPr>
        <w:t>7000 soci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 e </w:t>
      </w:r>
      <w:r w:rsidR="000657DE" w:rsidRPr="0084343C">
        <w:rPr>
          <w:rFonts w:ascii="Bookman Old Style" w:hAnsi="Bookman Old Style" w:cs="Arial"/>
          <w:b/>
          <w:bCs/>
          <w:sz w:val="23"/>
          <w:szCs w:val="23"/>
        </w:rPr>
        <w:t>126 collaboratori</w:t>
      </w:r>
      <w:r w:rsidR="000657DE" w:rsidRPr="0084343C">
        <w:rPr>
          <w:rFonts w:ascii="Bookman Old Style" w:hAnsi="Bookman Old Style" w:cs="Arial"/>
          <w:sz w:val="23"/>
          <w:szCs w:val="23"/>
        </w:rPr>
        <w:t xml:space="preserve">. </w:t>
      </w:r>
    </w:p>
    <w:p w14:paraId="3BBEE2EA" w14:textId="4DE70A9E" w:rsidR="009B1CB4" w:rsidRPr="0084343C" w:rsidRDefault="00DB0843" w:rsidP="0084343C">
      <w:pPr>
        <w:spacing w:after="120" w:line="240" w:lineRule="auto"/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</w:pPr>
      <w:r w:rsidRPr="0084343C">
        <w:rPr>
          <w:rFonts w:ascii="Bookman Old Style" w:hAnsi="Bookman Old Style" w:cs="Arial"/>
          <w:sz w:val="23"/>
          <w:szCs w:val="23"/>
        </w:rPr>
        <w:t>«</w:t>
      </w:r>
      <w:r w:rsidR="00410A28" w:rsidRPr="0084343C">
        <w:rPr>
          <w:rFonts w:ascii="Bookman Old Style" w:hAnsi="Bookman Old Style" w:cs="Arial"/>
          <w:sz w:val="23"/>
          <w:szCs w:val="23"/>
        </w:rPr>
        <w:t xml:space="preserve">Il bilancio al 31 dicembre 2022 </w:t>
      </w:r>
      <w:r w:rsidR="0016540E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– continua Sena – </w:t>
      </w:r>
      <w:r w:rsidR="00410A28" w:rsidRPr="0084343C">
        <w:rPr>
          <w:rFonts w:ascii="Bookman Old Style" w:hAnsi="Bookman Old Style" w:cs="Arial"/>
          <w:sz w:val="23"/>
          <w:szCs w:val="23"/>
        </w:rPr>
        <w:t xml:space="preserve">ha chiuso con un utile netto pari a </w:t>
      </w:r>
      <w:r w:rsidR="00410A28" w:rsidRPr="0084343C">
        <w:rPr>
          <w:rFonts w:ascii="Bookman Old Style" w:hAnsi="Bookman Old Style" w:cs="Arial"/>
          <w:b/>
          <w:bCs/>
          <w:sz w:val="23"/>
          <w:szCs w:val="23"/>
        </w:rPr>
        <w:t>3,7 mln di euro</w:t>
      </w:r>
      <w:r w:rsidR="00410A28" w:rsidRPr="0084343C">
        <w:rPr>
          <w:rFonts w:ascii="Bookman Old Style" w:hAnsi="Bookman Old Style" w:cs="Arial"/>
          <w:sz w:val="23"/>
          <w:szCs w:val="23"/>
        </w:rPr>
        <w:t xml:space="preserve">, </w:t>
      </w:r>
      <w:r w:rsidR="00410A28" w:rsidRPr="007D2E7D">
        <w:rPr>
          <w:rFonts w:ascii="Bookman Old Style" w:hAnsi="Bookman Old Style" w:cs="Arial"/>
          <w:sz w:val="23"/>
          <w:szCs w:val="23"/>
        </w:rPr>
        <w:t xml:space="preserve">generato prevalentemente dalla crescita del margine sugli interessi - </w:t>
      </w:r>
      <w:r w:rsidR="00410A28" w:rsidRPr="007D2E7D">
        <w:rPr>
          <w:rFonts w:ascii="Bookman Old Style" w:hAnsi="Bookman Old Style" w:cs="Arial"/>
          <w:b/>
          <w:bCs/>
          <w:sz w:val="23"/>
          <w:szCs w:val="23"/>
        </w:rPr>
        <w:t>da 13,77 a 16,1 milioni di euro (+ 16,98%)</w:t>
      </w:r>
      <w:r w:rsidR="00410A28" w:rsidRPr="007D2E7D">
        <w:rPr>
          <w:rFonts w:ascii="Bookman Old Style" w:hAnsi="Bookman Old Style" w:cs="Arial"/>
          <w:sz w:val="23"/>
          <w:szCs w:val="23"/>
        </w:rPr>
        <w:t xml:space="preserve"> </w:t>
      </w:r>
      <w:r w:rsidR="0016540E" w:rsidRPr="007D2E7D">
        <w:rPr>
          <w:rFonts w:ascii="Bookman Old Style" w:hAnsi="Bookman Old Style" w:cs="Arial"/>
          <w:sz w:val="23"/>
          <w:szCs w:val="23"/>
        </w:rPr>
        <w:t>–</w:t>
      </w:r>
      <w:r w:rsidR="00410A28" w:rsidRPr="0084343C">
        <w:rPr>
          <w:rFonts w:ascii="Bookman Old Style" w:hAnsi="Bookman Old Style" w:cs="Arial"/>
          <w:sz w:val="23"/>
          <w:szCs w:val="23"/>
        </w:rPr>
        <w:t xml:space="preserve"> </w:t>
      </w:r>
      <w:r w:rsidR="0016540E" w:rsidRPr="0084343C">
        <w:rPr>
          <w:rFonts w:ascii="Bookman Old Style" w:hAnsi="Bookman Old Style" w:cs="Arial"/>
          <w:sz w:val="23"/>
          <w:szCs w:val="23"/>
        </w:rPr>
        <w:t xml:space="preserve">e </w:t>
      </w:r>
      <w:r w:rsidR="00410A28" w:rsidRPr="0084343C">
        <w:rPr>
          <w:rFonts w:ascii="Bookman Old Style" w:hAnsi="Bookman Old Style" w:cs="Arial"/>
          <w:sz w:val="23"/>
          <w:szCs w:val="23"/>
        </w:rPr>
        <w:t>derivat</w:t>
      </w:r>
      <w:r w:rsidR="0016540E" w:rsidRPr="0084343C">
        <w:rPr>
          <w:rFonts w:ascii="Bookman Old Style" w:hAnsi="Bookman Old Style" w:cs="Arial"/>
          <w:sz w:val="23"/>
          <w:szCs w:val="23"/>
        </w:rPr>
        <w:t>o</w:t>
      </w:r>
      <w:r w:rsidR="00410A28" w:rsidRPr="0084343C">
        <w:rPr>
          <w:rFonts w:ascii="Bookman Old Style" w:hAnsi="Bookman Old Style" w:cs="Arial"/>
          <w:sz w:val="23"/>
          <w:szCs w:val="23"/>
        </w:rPr>
        <w:t xml:space="preserve"> da un incremento dei volumi generati</w:t>
      </w:r>
      <w:r w:rsidR="0016540E" w:rsidRPr="0084343C">
        <w:rPr>
          <w:rFonts w:ascii="Bookman Old Style" w:hAnsi="Bookman Old Style" w:cs="Arial"/>
          <w:sz w:val="23"/>
          <w:szCs w:val="23"/>
        </w:rPr>
        <w:t>.</w:t>
      </w:r>
      <w:r w:rsidR="00410A28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</w:t>
      </w:r>
      <w:r w:rsidRPr="0084343C">
        <w:rPr>
          <w:rFonts w:ascii="Bookman Old Style" w:hAnsi="Bookman Old Style" w:cs="Arial"/>
          <w:sz w:val="23"/>
          <w:szCs w:val="23"/>
        </w:rPr>
        <w:t>È stat</w:t>
      </w:r>
      <w:r w:rsidR="00410A28" w:rsidRPr="0084343C">
        <w:rPr>
          <w:rFonts w:ascii="Bookman Old Style" w:hAnsi="Bookman Old Style" w:cs="Arial"/>
          <w:sz w:val="23"/>
          <w:szCs w:val="23"/>
        </w:rPr>
        <w:t>o</w:t>
      </w:r>
      <w:r w:rsidRPr="0084343C">
        <w:rPr>
          <w:rFonts w:ascii="Bookman Old Style" w:hAnsi="Bookman Old Style" w:cs="Arial"/>
          <w:sz w:val="23"/>
          <w:szCs w:val="23"/>
        </w:rPr>
        <w:t xml:space="preserve"> ric</w:t>
      </w:r>
      <w:r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onfermat</w:t>
      </w:r>
      <w:r w:rsidR="00410A28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o, inoltre, l’incremento</w:t>
      </w:r>
      <w:r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de</w:t>
      </w:r>
      <w:r w:rsidR="00410A28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l</w:t>
      </w:r>
      <w:r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dat</w:t>
      </w:r>
      <w:r w:rsidR="00410A28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o che </w:t>
      </w:r>
      <w:r w:rsidR="0016540E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riflette </w:t>
      </w:r>
      <w:r w:rsidR="0016540E" w:rsidRPr="0084343C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la</w:t>
      </w:r>
      <w:r w:rsidR="009B1CB4" w:rsidRPr="0084343C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 xml:space="preserve"> vicinanza della Banca alle esigenze del territorio</w:t>
      </w:r>
      <w:r w:rsidR="00410A28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: quello</w:t>
      </w:r>
      <w:r w:rsidR="009B1CB4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relativo agli </w:t>
      </w:r>
      <w:r w:rsidR="009B1CB4" w:rsidRPr="0084343C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impieghi verso la clientela</w:t>
      </w:r>
      <w:r w:rsidR="009B1CB4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che, al 31 dicembre 2022, sono saliti a </w:t>
      </w:r>
      <w:r w:rsidR="009B1CB4" w:rsidRPr="0084343C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342,6 milioni di euro</w:t>
      </w:r>
      <w:r w:rsidR="0016537E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. </w:t>
      </w:r>
      <w:r w:rsidR="0016537E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I</w:t>
      </w:r>
      <w:r w:rsidR="009B1CB4" w:rsidRPr="007D2E7D">
        <w:rPr>
          <w:rFonts w:ascii="Bookman Old Style" w:hAnsi="Bookman Old Style"/>
          <w:b/>
          <w:bCs/>
          <w:sz w:val="23"/>
          <w:szCs w:val="23"/>
        </w:rPr>
        <w:t xml:space="preserve"> prestiti</w:t>
      </w:r>
      <w:r w:rsidR="009B1CB4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 xml:space="preserve"> complessivamente erogati</w:t>
      </w:r>
      <w:r w:rsidR="0016540E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,</w:t>
      </w:r>
      <w:r w:rsidR="009B1CB4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 xml:space="preserve"> sono destinati in larga parte a famiglie consumatrici e </w:t>
      </w:r>
      <w:r w:rsidR="0016540E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PMI</w:t>
      </w:r>
      <w:r w:rsidR="009B1CB4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, per sostenere lo sviluppo post-pandemico</w:t>
      </w:r>
      <w:r w:rsidR="009B1CB4" w:rsidRPr="0084343C">
        <w:rPr>
          <w:rFonts w:ascii="Bookman Old Style" w:hAnsi="Bookman Old Style" w:cs="Arial"/>
          <w:sz w:val="23"/>
          <w:szCs w:val="23"/>
        </w:rPr>
        <w:t>, caratterizzato da tensioni economiche per via dei rialzi inflazionisti</w:t>
      </w:r>
      <w:r w:rsidR="009B1CB4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. Meccanismi di cooperazione e interazione, che nel nostro spirito “mutualistico”, regolano tutte le azioni</w:t>
      </w:r>
      <w:r w:rsidR="0016540E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portate avanti</w:t>
      </w:r>
      <w:r w:rsidR="009B1CB4" w:rsidRPr="0084343C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».</w:t>
      </w:r>
    </w:p>
    <w:p w14:paraId="422660FD" w14:textId="795CBD20" w:rsidR="00247EAD" w:rsidRPr="0084343C" w:rsidRDefault="00624B01" w:rsidP="0084343C">
      <w:pPr>
        <w:spacing w:after="120" w:line="240" w:lineRule="auto"/>
        <w:rPr>
          <w:rFonts w:ascii="Bookman Old Style" w:hAnsi="Bookman Old Style" w:cs="Arial"/>
          <w:sz w:val="23"/>
          <w:szCs w:val="23"/>
        </w:rPr>
      </w:pPr>
      <w:r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Segno positivo </w:t>
      </w:r>
      <w:r w:rsidR="00A46A08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per la</w:t>
      </w:r>
      <w:r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</w:t>
      </w:r>
      <w:r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raccolta diretta che si attesta su 643 milioni di euro</w:t>
      </w:r>
      <w:r w:rsidR="00247EAD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,</w:t>
      </w:r>
      <w:r w:rsidR="00CB0E4F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</w:t>
      </w:r>
      <w:r w:rsidR="00A46A08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>e</w:t>
      </w:r>
      <w:r w:rsidR="00CB0E4F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 </w:t>
      </w:r>
      <w:r w:rsidR="00A46A08" w:rsidRPr="007D2E7D">
        <w:rPr>
          <w:rFonts w:ascii="Bookman Old Style" w:eastAsia="Times New Roman" w:hAnsi="Bookman Old Style" w:cs="Arial"/>
          <w:color w:val="202020"/>
          <w:sz w:val="23"/>
          <w:szCs w:val="23"/>
          <w:lang w:eastAsia="it-IT"/>
        </w:rPr>
        <w:t xml:space="preserve">per la redditività con il </w:t>
      </w:r>
      <w:r w:rsidR="00CB0E4F" w:rsidRPr="007D2E7D">
        <w:rPr>
          <w:rFonts w:ascii="Bookman Old Style" w:eastAsia="Times New Roman" w:hAnsi="Bookman Old Style" w:cs="Arial"/>
          <w:b/>
          <w:bCs/>
          <w:color w:val="202020"/>
          <w:sz w:val="23"/>
          <w:szCs w:val="23"/>
          <w:lang w:eastAsia="it-IT"/>
        </w:rPr>
        <w:t>m</w:t>
      </w:r>
      <w:r w:rsidR="00CB0E4F" w:rsidRPr="007D2E7D">
        <w:rPr>
          <w:rFonts w:ascii="Bookman Old Style" w:hAnsi="Bookman Old Style" w:cs="Arial"/>
          <w:b/>
          <w:bCs/>
          <w:sz w:val="23"/>
          <w:szCs w:val="23"/>
        </w:rPr>
        <w:t>argine di intermediazione</w:t>
      </w:r>
      <w:r w:rsidR="00247EAD" w:rsidRPr="007D2E7D">
        <w:rPr>
          <w:rFonts w:ascii="Bookman Old Style" w:hAnsi="Bookman Old Style" w:cs="Arial"/>
          <w:b/>
          <w:bCs/>
          <w:sz w:val="23"/>
          <w:szCs w:val="23"/>
        </w:rPr>
        <w:t xml:space="preserve"> </w:t>
      </w:r>
      <w:r w:rsidR="00A46A08" w:rsidRPr="007D2E7D">
        <w:rPr>
          <w:rFonts w:ascii="Bookman Old Style" w:hAnsi="Bookman Old Style" w:cs="Arial"/>
          <w:b/>
          <w:bCs/>
          <w:sz w:val="23"/>
          <w:szCs w:val="23"/>
        </w:rPr>
        <w:t xml:space="preserve">che passa </w:t>
      </w:r>
      <w:r w:rsidR="00CB0E4F" w:rsidRPr="007D2E7D">
        <w:rPr>
          <w:rFonts w:ascii="Bookman Old Style" w:hAnsi="Bookman Old Style" w:cs="Arial"/>
          <w:sz w:val="23"/>
          <w:szCs w:val="23"/>
        </w:rPr>
        <w:t>da 22,1 a 23,68 milioni di euro (+ 7,19%)</w:t>
      </w:r>
      <w:r w:rsidR="00A46A08" w:rsidRPr="007D2E7D">
        <w:rPr>
          <w:rFonts w:ascii="Bookman Old Style" w:hAnsi="Bookman Old Style" w:cs="Arial"/>
          <w:sz w:val="23"/>
          <w:szCs w:val="23"/>
        </w:rPr>
        <w:t xml:space="preserve">. Segnali positivi anche per il credito deteriorato, con un </w:t>
      </w:r>
      <w:r w:rsidR="00247EAD" w:rsidRPr="007D2E7D">
        <w:rPr>
          <w:rFonts w:ascii="Bookman Old Style" w:hAnsi="Bookman Old Style" w:cs="Arial"/>
          <w:b/>
          <w:bCs/>
          <w:sz w:val="23"/>
          <w:szCs w:val="23"/>
        </w:rPr>
        <w:t>NPL</w:t>
      </w:r>
      <w:r w:rsidR="00247EAD" w:rsidRPr="007D2E7D">
        <w:rPr>
          <w:rFonts w:ascii="Bookman Old Style" w:hAnsi="Bookman Old Style" w:cs="Arial"/>
          <w:sz w:val="23"/>
          <w:szCs w:val="23"/>
        </w:rPr>
        <w:t xml:space="preserve"> </w:t>
      </w:r>
      <w:r w:rsidR="00A46A08" w:rsidRPr="007D2E7D">
        <w:rPr>
          <w:rFonts w:ascii="Bookman Old Style" w:hAnsi="Bookman Old Style" w:cs="Arial"/>
          <w:sz w:val="23"/>
          <w:szCs w:val="23"/>
        </w:rPr>
        <w:t xml:space="preserve">ratio sotto il 5%, e sul fronte della solidità patrimoniale con un </w:t>
      </w:r>
      <w:r w:rsidR="00247EAD" w:rsidRPr="007D2E7D">
        <w:rPr>
          <w:rFonts w:ascii="Bookman Old Style" w:hAnsi="Bookman Old Style" w:cs="Arial"/>
          <w:b/>
          <w:bCs/>
          <w:sz w:val="23"/>
          <w:szCs w:val="23"/>
          <w:u w:val="single"/>
        </w:rPr>
        <w:t>Total Capital Ratio che si attesta al 23,95</w:t>
      </w:r>
      <w:r w:rsidR="00247EAD" w:rsidRPr="007D2E7D">
        <w:rPr>
          <w:rFonts w:ascii="Bookman Old Style" w:hAnsi="Bookman Old Style" w:cs="Arial"/>
          <w:sz w:val="23"/>
          <w:szCs w:val="23"/>
        </w:rPr>
        <w:t>%.</w:t>
      </w:r>
    </w:p>
    <w:p w14:paraId="674E1446" w14:textId="76127E82" w:rsidR="005A5508" w:rsidRPr="0084343C" w:rsidRDefault="005A5508" w:rsidP="0084343C">
      <w:pPr>
        <w:spacing w:after="120" w:line="240" w:lineRule="auto"/>
        <w:rPr>
          <w:rFonts w:ascii="Bookman Old Style" w:hAnsi="Bookman Old Style"/>
          <w:color w:val="000000"/>
          <w:sz w:val="23"/>
          <w:szCs w:val="23"/>
          <w:shd w:val="clear" w:color="auto" w:fill="FFFFFF"/>
        </w:rPr>
      </w:pPr>
      <w:r w:rsidRPr="0084343C">
        <w:rPr>
          <w:rFonts w:ascii="Bookman Old Style" w:hAnsi="Bookman Old Style" w:cs="Arial"/>
          <w:sz w:val="23"/>
          <w:szCs w:val="23"/>
        </w:rPr>
        <w:t>«</w:t>
      </w:r>
      <w:r w:rsidR="00247EAD" w:rsidRPr="0084343C">
        <w:rPr>
          <w:rFonts w:ascii="Bookman Old Style" w:hAnsi="Bookman Old Style" w:cs="Arial"/>
          <w:sz w:val="23"/>
          <w:szCs w:val="23"/>
        </w:rPr>
        <w:t xml:space="preserve">Un ringraziamento va all’ex direttore </w:t>
      </w:r>
      <w:r w:rsidR="00247EAD" w:rsidRPr="0084343C">
        <w:rPr>
          <w:rFonts w:ascii="Bookman Old Style" w:hAnsi="Bookman Old Style" w:cs="Arial"/>
          <w:b/>
          <w:bCs/>
          <w:sz w:val="23"/>
          <w:szCs w:val="23"/>
        </w:rPr>
        <w:t>Corrado Bongiovanni</w:t>
      </w:r>
      <w:r w:rsidR="00247EAD" w:rsidRPr="0084343C">
        <w:rPr>
          <w:rFonts w:ascii="Bookman Old Style" w:hAnsi="Bookman Old Style" w:cs="Arial"/>
          <w:sz w:val="23"/>
          <w:szCs w:val="23"/>
        </w:rPr>
        <w:t xml:space="preserve"> – sottolinea il presidente </w:t>
      </w:r>
      <w:r w:rsidR="00A46A08">
        <w:rPr>
          <w:rFonts w:ascii="Bookman Old Style" w:hAnsi="Bookman Old Style" w:cs="Arial"/>
          <w:sz w:val="23"/>
          <w:szCs w:val="23"/>
        </w:rPr>
        <w:t xml:space="preserve">della </w:t>
      </w:r>
      <w:r w:rsidR="00247EAD" w:rsidRPr="0084343C">
        <w:rPr>
          <w:rFonts w:ascii="Bookman Old Style" w:hAnsi="Bookman Old Style" w:cs="Arial"/>
          <w:sz w:val="23"/>
          <w:szCs w:val="23"/>
        </w:rPr>
        <w:t xml:space="preserve">BCC </w:t>
      </w:r>
      <w:r w:rsidR="00A46A08">
        <w:rPr>
          <w:rFonts w:ascii="Bookman Old Style" w:hAnsi="Bookman Old Style" w:cs="Arial"/>
          <w:sz w:val="23"/>
          <w:szCs w:val="23"/>
        </w:rPr>
        <w:t xml:space="preserve">di </w:t>
      </w:r>
      <w:r w:rsidR="00247EAD" w:rsidRPr="0084343C">
        <w:rPr>
          <w:rFonts w:ascii="Bookman Old Style" w:hAnsi="Bookman Old Style" w:cs="Arial"/>
          <w:sz w:val="23"/>
          <w:szCs w:val="23"/>
        </w:rPr>
        <w:t>Pachino</w:t>
      </w:r>
      <w:r w:rsidR="00033C76" w:rsidRPr="0084343C">
        <w:rPr>
          <w:rFonts w:ascii="Bookman Old Style" w:hAnsi="Bookman Old Style" w:cs="Arial"/>
          <w:sz w:val="23"/>
          <w:szCs w:val="23"/>
        </w:rPr>
        <w:t xml:space="preserve"> </w:t>
      </w:r>
      <w:r w:rsidR="00033C76" w:rsidRPr="0084343C">
        <w:rPr>
          <w:rFonts w:ascii="Bookman Old Style" w:hAnsi="Bookman Old Style" w:cs="Arial"/>
          <w:b/>
          <w:bCs/>
          <w:sz w:val="23"/>
          <w:szCs w:val="23"/>
        </w:rPr>
        <w:t>Concetto Costa</w:t>
      </w:r>
      <w:r w:rsidR="00247EAD" w:rsidRPr="0084343C">
        <w:rPr>
          <w:rFonts w:ascii="Bookman Old Style" w:hAnsi="Bookman Old Style" w:cs="Arial"/>
          <w:sz w:val="23"/>
          <w:szCs w:val="23"/>
        </w:rPr>
        <w:t xml:space="preserve"> – per l’impegno, la dedizione e i grandi risultati ottenuti negli ultimi anni, contestualmente a un momento delicatissimo attraversato da tutta la società civile. Un augurio di buon lavoro, invece, al nuovo direttore generale</w:t>
      </w:r>
      <w:r w:rsidR="0084343C" w:rsidRPr="0084343C">
        <w:rPr>
          <w:rFonts w:ascii="Bookman Old Style" w:hAnsi="Bookman Old Style" w:cs="Arial"/>
          <w:sz w:val="23"/>
          <w:szCs w:val="23"/>
        </w:rPr>
        <w:t xml:space="preserve"> Sena</w:t>
      </w:r>
      <w:r w:rsidR="00247EAD" w:rsidRPr="0084343C">
        <w:rPr>
          <w:rFonts w:ascii="Bookman Old Style" w:hAnsi="Bookman Old Style" w:cs="Arial"/>
          <w:sz w:val="23"/>
          <w:szCs w:val="23"/>
        </w:rPr>
        <w:t xml:space="preserve"> che, siamo certi, con la sua esperienza offrirà un prezioso </w:t>
      </w:r>
      <w:r w:rsidR="00247EAD" w:rsidRPr="007D2E7D">
        <w:rPr>
          <w:rFonts w:ascii="Bookman Old Style" w:hAnsi="Bookman Old Style" w:cs="Arial"/>
          <w:sz w:val="23"/>
          <w:szCs w:val="23"/>
        </w:rPr>
        <w:t xml:space="preserve">contributo e darà </w:t>
      </w:r>
      <w:r w:rsidR="00A46A08" w:rsidRPr="007D2E7D">
        <w:rPr>
          <w:rFonts w:ascii="Bookman Old Style" w:hAnsi="Bookman Old Style" w:cs="Arial"/>
          <w:sz w:val="23"/>
          <w:szCs w:val="23"/>
        </w:rPr>
        <w:t>ulteriore</w:t>
      </w:r>
      <w:r w:rsidR="00247EAD" w:rsidRPr="007D2E7D">
        <w:rPr>
          <w:rFonts w:ascii="Bookman Old Style" w:hAnsi="Bookman Old Style" w:cs="Arial"/>
          <w:sz w:val="23"/>
          <w:szCs w:val="23"/>
        </w:rPr>
        <w:t xml:space="preserve"> slancio </w:t>
      </w:r>
      <w:r w:rsidR="0084343C" w:rsidRPr="007D2E7D">
        <w:rPr>
          <w:rFonts w:ascii="Bookman Old Style" w:hAnsi="Bookman Old Style" w:cs="Arial"/>
          <w:sz w:val="23"/>
          <w:szCs w:val="23"/>
        </w:rPr>
        <w:t>alla crescita della banca</w:t>
      </w:r>
      <w:r w:rsidR="00247EAD" w:rsidRPr="007D2E7D">
        <w:rPr>
          <w:rFonts w:ascii="Bookman Old Style" w:hAnsi="Bookman Old Style" w:cs="Arial"/>
          <w:sz w:val="23"/>
          <w:szCs w:val="23"/>
        </w:rPr>
        <w:t>».</w:t>
      </w:r>
    </w:p>
    <w:p w14:paraId="372090D3" w14:textId="703B6A3F" w:rsidR="00CB0E4F" w:rsidRPr="0084343C" w:rsidRDefault="00247EAD" w:rsidP="0084343C">
      <w:pPr>
        <w:spacing w:after="120" w:line="240" w:lineRule="auto"/>
        <w:rPr>
          <w:rFonts w:ascii="Bookman Old Style" w:hAnsi="Bookman Old Style"/>
          <w:color w:val="000000"/>
          <w:sz w:val="23"/>
          <w:szCs w:val="23"/>
          <w:shd w:val="clear" w:color="auto" w:fill="FFFFFF"/>
        </w:rPr>
      </w:pPr>
      <w:r w:rsidRPr="0084343C">
        <w:rPr>
          <w:rFonts w:ascii="Bookman Old Style" w:hAnsi="Bookman Old Style" w:cs="Arial"/>
          <w:sz w:val="23"/>
          <w:szCs w:val="23"/>
        </w:rPr>
        <w:t xml:space="preserve">«Bcc Pachino </w:t>
      </w:r>
      <w:r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– conclude il neodirettore Massimo Sena - sta procedendo spedita con gli obiettivi di sviluppo del piano industriale, che prevedono l’implementazione</w:t>
      </w:r>
      <w:r w:rsidRPr="0084343C">
        <w:rPr>
          <w:rStyle w:val="Enfasigrassetto"/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 delle attività core e </w:t>
      </w:r>
      <w:r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la </w:t>
      </w:r>
      <w:r w:rsidRPr="0084343C">
        <w:rPr>
          <w:rStyle w:val="Enfasigrassetto"/>
          <w:rFonts w:ascii="Bookman Old Style" w:hAnsi="Bookman Old Style"/>
          <w:color w:val="000000"/>
          <w:sz w:val="23"/>
          <w:szCs w:val="23"/>
          <w:shd w:val="clear" w:color="auto" w:fill="FFFFFF"/>
        </w:rPr>
        <w:t>diversificazione delle fonti di ricavo</w:t>
      </w:r>
      <w:r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 tramite l'avvio di business sinergici. 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Vorrei sottolineare un altro dato significativo: la </w:t>
      </w:r>
      <w:r w:rsidR="00CB0E4F" w:rsidRPr="0084343C">
        <w:rPr>
          <w:rFonts w:ascii="Bookman Old Style" w:hAnsi="Bookman Old Style"/>
          <w:b/>
          <w:bCs/>
          <w:color w:val="000000"/>
          <w:sz w:val="23"/>
          <w:szCs w:val="23"/>
          <w:shd w:val="clear" w:color="auto" w:fill="FFFFFF"/>
        </w:rPr>
        <w:t>crescita dei soci che sono passati da 6230 a 6877</w:t>
      </w:r>
      <w:r w:rsidR="0016540E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,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 con un balzo del 10,39%. </w:t>
      </w:r>
      <w:r w:rsidR="0016540E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U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n risultato ottenuto grazie all’investimento della banca sulla cultura, </w:t>
      </w:r>
      <w:r w:rsidR="0016540E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sul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le competenze e </w:t>
      </w:r>
      <w:r w:rsidR="0016540E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sul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le energie del territorio. Le BCC sono espressione della finanza civile e operano a sostegno dell’inclusione per superare i divari di reddito: una logica premiante che mira al benessere economico a vantaggio di tutta la comunità</w:t>
      </w:r>
      <w:r w:rsid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. Guarderemo con attenzione al nostro territorio, per interpretare correttamente la mission dell’Istituto, tramandata di generazione in generazione</w:t>
      </w:r>
      <w:r w:rsidR="00CB0E4F" w:rsidRPr="0084343C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>».</w:t>
      </w:r>
    </w:p>
    <w:p w14:paraId="57939476" w14:textId="77777777" w:rsidR="00CB0E4F" w:rsidRDefault="00CB0E4F" w:rsidP="00767035">
      <w:pPr>
        <w:spacing w:after="120" w:line="280" w:lineRule="exact"/>
        <w:rPr>
          <w:rFonts w:ascii="Roboto" w:hAnsi="Roboto"/>
          <w:color w:val="000000"/>
          <w:sz w:val="25"/>
          <w:szCs w:val="25"/>
          <w:shd w:val="clear" w:color="auto" w:fill="FFFFFF"/>
        </w:rPr>
      </w:pPr>
    </w:p>
    <w:p w14:paraId="470E4F46" w14:textId="77777777" w:rsidR="0084343C" w:rsidRDefault="0084343C" w:rsidP="00767035">
      <w:pPr>
        <w:spacing w:after="120" w:line="280" w:lineRule="exact"/>
        <w:rPr>
          <w:rFonts w:ascii="Roboto" w:hAnsi="Roboto"/>
          <w:color w:val="000000"/>
          <w:sz w:val="25"/>
          <w:szCs w:val="25"/>
          <w:shd w:val="clear" w:color="auto" w:fill="FFFFFF"/>
        </w:rPr>
      </w:pPr>
    </w:p>
    <w:p w14:paraId="56F0E4A8" w14:textId="77777777" w:rsidR="007D2E7D" w:rsidRDefault="007D2E7D" w:rsidP="007D2E7D">
      <w:pPr>
        <w:spacing w:after="120" w:line="280" w:lineRule="exact"/>
        <w:rPr>
          <w:rFonts w:ascii="Roboto" w:hAnsi="Roboto"/>
          <w:color w:val="000000"/>
          <w:sz w:val="25"/>
          <w:szCs w:val="25"/>
          <w:shd w:val="clear" w:color="auto" w:fill="FFFFFF"/>
        </w:rPr>
      </w:pPr>
    </w:p>
    <w:p w14:paraId="5B13BF8B" w14:textId="64086330" w:rsidR="0057032A" w:rsidRPr="00535CD8" w:rsidRDefault="00767035" w:rsidP="00767035">
      <w:pPr>
        <w:spacing w:after="120" w:line="280" w:lineRule="exact"/>
        <w:rPr>
          <w:rFonts w:ascii="Bookman Old Style" w:hAnsi="Bookman Old Style" w:cs="Arial"/>
          <w:i/>
          <w:iCs/>
        </w:rPr>
      </w:pPr>
      <w:r w:rsidRPr="00535CD8">
        <w:rPr>
          <w:rFonts w:ascii="Bookman Old Style" w:hAnsi="Bookman Old Style" w:cs="Arial"/>
          <w:b/>
          <w:bCs/>
          <w:i/>
          <w:iCs/>
        </w:rPr>
        <w:t xml:space="preserve">BCC </w:t>
      </w:r>
      <w:r w:rsidR="00A46A08">
        <w:rPr>
          <w:rFonts w:ascii="Bookman Old Style" w:hAnsi="Bookman Old Style" w:cs="Arial"/>
          <w:b/>
          <w:bCs/>
          <w:i/>
          <w:iCs/>
        </w:rPr>
        <w:t xml:space="preserve">di </w:t>
      </w:r>
      <w:r w:rsidR="0057032A" w:rsidRPr="00535CD8">
        <w:rPr>
          <w:rFonts w:ascii="Bookman Old Style" w:hAnsi="Bookman Old Style" w:cs="Arial"/>
          <w:b/>
          <w:bCs/>
          <w:i/>
          <w:iCs/>
        </w:rPr>
        <w:t>Pachino</w:t>
      </w:r>
      <w:r w:rsidRPr="00535CD8">
        <w:rPr>
          <w:rFonts w:ascii="Bookman Old Style" w:hAnsi="Bookman Old Style" w:cs="Arial"/>
          <w:i/>
          <w:iCs/>
        </w:rPr>
        <w:t xml:space="preserve"> </w:t>
      </w:r>
      <w:r w:rsidR="0057032A" w:rsidRPr="00535CD8">
        <w:rPr>
          <w:rFonts w:ascii="Bookman Old Style" w:hAnsi="Bookman Old Style" w:cs="Arial"/>
          <w:i/>
          <w:iCs/>
        </w:rPr>
        <w:t>è un fiore all’occhiello del mondo cooperativo a livello nazionale, sia per volumi che per qualità. L’istituto ha una vocazione fortemente mutualistica, volta a sostenere il territorio in cui è radicata. Negli ultimi anni ha avuto una forte espansione territoriale, arrivando a coprire anche il territorio di Messina, oltre a quello di Ragusa, Catania e Siracusa (</w:t>
      </w:r>
      <w:r w:rsidR="00535CD8" w:rsidRPr="00535CD8">
        <w:rPr>
          <w:rFonts w:ascii="Bookman Old Style" w:hAnsi="Bookman Old Style" w:cs="Arial"/>
          <w:i/>
          <w:iCs/>
        </w:rPr>
        <w:t>c</w:t>
      </w:r>
      <w:r w:rsidR="0057032A" w:rsidRPr="00535CD8">
        <w:rPr>
          <w:rFonts w:ascii="Bookman Old Style" w:hAnsi="Bookman Old Style" w:cs="Arial"/>
          <w:i/>
          <w:iCs/>
        </w:rPr>
        <w:t>on</w:t>
      </w:r>
      <w:r w:rsidR="00535CD8" w:rsidRPr="00535CD8">
        <w:rPr>
          <w:rFonts w:ascii="Bookman Old Style" w:hAnsi="Bookman Old Style" w:cs="Arial"/>
          <w:i/>
          <w:iCs/>
        </w:rPr>
        <w:t xml:space="preserve"> la presenza di 19 filiali in 84 comuni)</w:t>
      </w:r>
      <w:r w:rsidR="0057032A" w:rsidRPr="00535CD8">
        <w:rPr>
          <w:rFonts w:ascii="Bookman Old Style" w:hAnsi="Bookman Old Style" w:cs="Arial"/>
          <w:i/>
          <w:iCs/>
        </w:rPr>
        <w:t>.</w:t>
      </w:r>
    </w:p>
    <w:p w14:paraId="2AF1B17A" w14:textId="77777777" w:rsidR="00EA131D" w:rsidRDefault="00767035" w:rsidP="00767035">
      <w:pPr>
        <w:spacing w:after="0" w:line="280" w:lineRule="exact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35CD8">
        <w:rPr>
          <w:rFonts w:ascii="Bookman Old Style" w:hAnsi="Bookman Old Style" w:cs="Arial"/>
          <w:i/>
          <w:iCs/>
        </w:rPr>
        <w:t xml:space="preserve">Il </w:t>
      </w:r>
      <w:r w:rsidRPr="00535CD8">
        <w:rPr>
          <w:rFonts w:ascii="Bookman Old Style" w:hAnsi="Bookman Old Style" w:cs="Arial"/>
          <w:b/>
          <w:bCs/>
          <w:i/>
          <w:iCs/>
        </w:rPr>
        <w:t>Gruppo BCC Iccrea</w:t>
      </w:r>
      <w:r w:rsidRPr="00535CD8">
        <w:rPr>
          <w:rFonts w:ascii="Bookman Old Style" w:hAnsi="Bookman Old Style" w:cs="Arial"/>
          <w:i/>
          <w:iCs/>
        </w:rPr>
        <w:t xml:space="preserve"> è il maggiore gruppo bancario cooperativo, l’unico gruppo bancario nazionale a capitale interamente italiano e il quarto gruppo bancario in Italia per attivi, con un totale dell’attivo consolidato – al 31 dicembre 2022 – attestato a 173,5 miliardi di euro. Il Gruppo BCC Iccrea è costituito oggi da </w:t>
      </w:r>
      <w:r w:rsidRPr="00535CD8">
        <w:rPr>
          <w:rFonts w:ascii="Bookman Old Style" w:hAnsi="Bookman Old Style" w:cs="Arial"/>
          <w:b/>
          <w:bCs/>
          <w:i/>
          <w:iCs/>
        </w:rPr>
        <w:t>118 Banche di Credito Cooperativo</w:t>
      </w:r>
      <w:r w:rsidRPr="00535CD8">
        <w:rPr>
          <w:rFonts w:ascii="Bookman Old Style" w:hAnsi="Bookman Old Style" w:cs="Arial"/>
          <w:i/>
          <w:iCs/>
        </w:rPr>
        <w:t>, presenti in oltre 1.700 comuni italiani con quasi 2.500 sportelli, e da altre società bancarie, finanziarie e strumentali controllate da BCC Banca Iccrea. Le BCC del Gruppo al 31 dicembre 2022 hanno realizzato su tutto il territorio italiano circa 91 miliardi di euro di impieghi netti e una raccolta diretta da clientela ordinaria pari a circa 121 miliardi di euro, contando oltre 5 milioni di clienti e circa 850 mila soci. Il Gruppo BCC Iccrea è tra i migliori gruppi bancari per qualità del patrimonio con un CET 1 Ratio del 19,2% (dati al 31 12 2022).</w:t>
      </w:r>
      <w:r w:rsidR="00EA131D" w:rsidRPr="00EA131D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14:paraId="19E4E6B1" w14:textId="0088EDBD" w:rsidR="00767035" w:rsidRPr="00535CD8" w:rsidRDefault="00767035" w:rsidP="00767035">
      <w:pPr>
        <w:spacing w:after="0" w:line="280" w:lineRule="exact"/>
        <w:rPr>
          <w:rFonts w:ascii="Bookman Old Style" w:hAnsi="Bookman Old Style" w:cs="Arial"/>
          <w:i/>
          <w:iCs/>
        </w:rPr>
      </w:pPr>
    </w:p>
    <w:sectPr w:rsidR="00767035" w:rsidRPr="00535C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0938" w14:textId="77777777" w:rsidR="00F16C09" w:rsidRDefault="00F16C09" w:rsidP="00767035">
      <w:pPr>
        <w:spacing w:after="0" w:line="240" w:lineRule="auto"/>
      </w:pPr>
      <w:r>
        <w:separator/>
      </w:r>
    </w:p>
  </w:endnote>
  <w:endnote w:type="continuationSeparator" w:id="0">
    <w:p w14:paraId="04B62A5E" w14:textId="77777777" w:rsidR="00F16C09" w:rsidRDefault="00F16C09" w:rsidP="0076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295D" w14:textId="77777777" w:rsidR="00F16C09" w:rsidRDefault="00F16C09" w:rsidP="00767035">
      <w:pPr>
        <w:spacing w:after="0" w:line="240" w:lineRule="auto"/>
      </w:pPr>
      <w:r>
        <w:separator/>
      </w:r>
    </w:p>
  </w:footnote>
  <w:footnote w:type="continuationSeparator" w:id="0">
    <w:p w14:paraId="50D16A84" w14:textId="77777777" w:rsidR="00F16C09" w:rsidRDefault="00F16C09" w:rsidP="0076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089F" w14:textId="5E2A6FB0" w:rsidR="00767035" w:rsidRDefault="004C6BB7" w:rsidP="00767035">
    <w:pPr>
      <w:pStyle w:val="Intestazione"/>
      <w:tabs>
        <w:tab w:val="clear" w:pos="4819"/>
        <w:tab w:val="clear" w:pos="9638"/>
        <w:tab w:val="center" w:pos="1682"/>
      </w:tabs>
    </w:pPr>
    <w:r w:rsidRPr="004C6BB7">
      <w:rPr>
        <w:noProof/>
      </w:rPr>
      <w:drawing>
        <wp:anchor distT="0" distB="0" distL="114300" distR="114300" simplePos="0" relativeHeight="251658240" behindDoc="0" locked="0" layoutInCell="1" allowOverlap="1" wp14:anchorId="1D0BA834" wp14:editId="1F36C8FB">
          <wp:simplePos x="0" y="0"/>
          <wp:positionH relativeFrom="margin">
            <wp:posOffset>-177800</wp:posOffset>
          </wp:positionH>
          <wp:positionV relativeFrom="paragraph">
            <wp:posOffset>-637540</wp:posOffset>
          </wp:positionV>
          <wp:extent cx="6120130" cy="1144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12"/>
    <w:rsid w:val="00033C76"/>
    <w:rsid w:val="000657DE"/>
    <w:rsid w:val="0009040D"/>
    <w:rsid w:val="00092352"/>
    <w:rsid w:val="00096587"/>
    <w:rsid w:val="000F0202"/>
    <w:rsid w:val="00117553"/>
    <w:rsid w:val="0016537E"/>
    <w:rsid w:val="0016540E"/>
    <w:rsid w:val="00207A12"/>
    <w:rsid w:val="00217EB0"/>
    <w:rsid w:val="00247EAD"/>
    <w:rsid w:val="003C374E"/>
    <w:rsid w:val="00410A28"/>
    <w:rsid w:val="00434826"/>
    <w:rsid w:val="004C6BB7"/>
    <w:rsid w:val="00535CD8"/>
    <w:rsid w:val="0057032A"/>
    <w:rsid w:val="005A5508"/>
    <w:rsid w:val="00624B01"/>
    <w:rsid w:val="00626E0C"/>
    <w:rsid w:val="00767035"/>
    <w:rsid w:val="007D2E7D"/>
    <w:rsid w:val="0084343C"/>
    <w:rsid w:val="00851D99"/>
    <w:rsid w:val="009B1CB4"/>
    <w:rsid w:val="009E5613"/>
    <w:rsid w:val="00A46A08"/>
    <w:rsid w:val="00A53A39"/>
    <w:rsid w:val="00CB0E4F"/>
    <w:rsid w:val="00CC657C"/>
    <w:rsid w:val="00CF1AF4"/>
    <w:rsid w:val="00DB0843"/>
    <w:rsid w:val="00E34AC6"/>
    <w:rsid w:val="00EA131D"/>
    <w:rsid w:val="00F16C09"/>
    <w:rsid w:val="00F2061D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B00E"/>
  <w15:chartTrackingRefBased/>
  <w15:docId w15:val="{7D0B2740-9661-4576-8DA9-7B3734C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035"/>
    <w:pPr>
      <w:spacing w:after="200" w:line="276" w:lineRule="auto"/>
      <w:jc w:val="both"/>
    </w:pPr>
    <w:rPr>
      <w:rFonts w:ascii="Arial Narrow" w:eastAsia="Calibri" w:hAnsi="Arial Narrow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7035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035"/>
  </w:style>
  <w:style w:type="paragraph" w:styleId="Pidipagina">
    <w:name w:val="footer"/>
    <w:basedOn w:val="Normale"/>
    <w:link w:val="PidipaginaCarattere"/>
    <w:uiPriority w:val="99"/>
    <w:unhideWhenUsed/>
    <w:rsid w:val="00767035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035"/>
  </w:style>
  <w:style w:type="table" w:styleId="Grigliatabella">
    <w:name w:val="Table Grid"/>
    <w:basedOn w:val="Tabellanormale"/>
    <w:uiPriority w:val="39"/>
    <w:rsid w:val="007670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7035"/>
    <w:rPr>
      <w:color w:val="0563C1" w:themeColor="hyperlink"/>
      <w:u w:val="single"/>
    </w:rPr>
  </w:style>
  <w:style w:type="paragraph" w:customStyle="1" w:styleId="Default">
    <w:name w:val="Default"/>
    <w:rsid w:val="0076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CB0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assia</cp:lastModifiedBy>
  <cp:revision>2</cp:revision>
  <cp:lastPrinted>2023-05-11T08:47:00Z</cp:lastPrinted>
  <dcterms:created xsi:type="dcterms:W3CDTF">2023-05-12T11:27:00Z</dcterms:created>
  <dcterms:modified xsi:type="dcterms:W3CDTF">2023-05-12T11:27:00Z</dcterms:modified>
</cp:coreProperties>
</file>