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B360" w14:textId="13331224" w:rsidR="00FE3467" w:rsidRPr="0094667D" w:rsidRDefault="00BB2658" w:rsidP="00FE3467">
      <w:pPr>
        <w:shd w:val="clear" w:color="auto" w:fill="FFFFFF"/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</w:pPr>
      <w:r w:rsidRPr="0094667D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RBC </w:t>
      </w:r>
      <w:r w:rsidR="00FB23E2" w:rsidRPr="0094667D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BlueBay –</w:t>
      </w:r>
      <w:r w:rsidRPr="0094667D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 </w:t>
      </w:r>
      <w:r w:rsidR="00FB23E2" w:rsidRPr="0094667D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10 ragioni per investire</w:t>
      </w:r>
      <w:r w:rsidR="00FE3467" w:rsidRPr="0094667D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 nel mercato azionario cinese</w:t>
      </w:r>
    </w:p>
    <w:p w14:paraId="724EF543" w14:textId="77777777" w:rsidR="00BB2658" w:rsidRPr="0094667D" w:rsidRDefault="00BB2658" w:rsidP="00FE3467">
      <w:pPr>
        <w:shd w:val="clear" w:color="auto" w:fill="FFFFFF"/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</w:pPr>
    </w:p>
    <w:p w14:paraId="69C564BB" w14:textId="3517D259" w:rsidR="00FE3467" w:rsidRPr="0094667D" w:rsidRDefault="00BB2658" w:rsidP="00FE3467">
      <w:pPr>
        <w:shd w:val="clear" w:color="auto" w:fill="FFFFFF"/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</w:pPr>
      <w:r w:rsidRPr="0094667D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A cura di</w:t>
      </w:r>
      <w:r w:rsidR="00FE3467" w:rsidRPr="0094667D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 </w:t>
      </w:r>
      <w:proofErr w:type="spellStart"/>
      <w:r w:rsidR="00FE3467" w:rsidRPr="0094667D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Mayur</w:t>
      </w:r>
      <w:proofErr w:type="spellEnd"/>
      <w:r w:rsidR="00FE3467" w:rsidRPr="0094667D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</w:t>
      </w:r>
      <w:proofErr w:type="spellStart"/>
      <w:r w:rsidR="00FE3467" w:rsidRPr="0094667D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Nallam</w:t>
      </w:r>
      <w:r w:rsidR="00FB23E2" w:rsidRPr="0094667D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a</w:t>
      </w:r>
      <w:r w:rsidR="00FE3467" w:rsidRPr="0094667D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la</w:t>
      </w:r>
      <w:proofErr w:type="spellEnd"/>
      <w:r w:rsidR="00FE3467" w:rsidRPr="0094667D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, </w:t>
      </w:r>
      <w:r w:rsidRPr="0094667D">
        <w:rPr>
          <w:rFonts w:ascii="Calibri" w:eastAsiaTheme="majorEastAsia" w:hAnsi="Calibri" w:cs="Calibri"/>
          <w:b/>
          <w:bCs/>
          <w:sz w:val="22"/>
          <w:szCs w:val="22"/>
          <w:lang w:val="it-IT"/>
        </w:rPr>
        <w:t>Senior Portfolio Manager e Head of Asian Equities</w:t>
      </w:r>
      <w:r w:rsidRPr="0094667D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, RBC</w:t>
      </w:r>
      <w:r w:rsidR="00FB23E2" w:rsidRPr="0094667D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BlueBay</w:t>
      </w:r>
    </w:p>
    <w:p w14:paraId="65AC7E04" w14:textId="77777777" w:rsidR="00FE3467" w:rsidRPr="0094667D" w:rsidRDefault="00FE3467" w:rsidP="00FE3467">
      <w:pPr>
        <w:shd w:val="clear" w:color="auto" w:fill="FFFFFF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</w:p>
    <w:p w14:paraId="4C5E9F2E" w14:textId="10B4BDB7" w:rsidR="00FE3467" w:rsidRPr="0094667D" w:rsidRDefault="00FE3467" w:rsidP="00FE3467">
      <w:pPr>
        <w:rPr>
          <w:rFonts w:ascii="Calibri" w:hAnsi="Calibri" w:cs="Calibri"/>
          <w:sz w:val="22"/>
          <w:szCs w:val="22"/>
          <w:lang w:val="it-IT"/>
        </w:rPr>
      </w:pPr>
      <w:r w:rsidRPr="00873D8F">
        <w:rPr>
          <w:rFonts w:ascii="Calibri" w:eastAsiaTheme="majorEastAsia" w:hAnsi="Calibri" w:cs="Calibri"/>
          <w:b/>
          <w:bCs/>
          <w:sz w:val="22"/>
          <w:szCs w:val="22"/>
          <w:lang w:val="it-IT"/>
        </w:rPr>
        <w:t>Il mercato azionario cinese ha registrato un forte rimbalzo negli ultimi mesi</w:t>
      </w:r>
      <w:r w:rsidRPr="0094667D">
        <w:rPr>
          <w:rFonts w:ascii="Calibri" w:eastAsiaTheme="majorEastAsia" w:hAnsi="Calibri" w:cs="Calibri"/>
          <w:sz w:val="22"/>
          <w:szCs w:val="22"/>
          <w:lang w:val="it-IT"/>
        </w:rPr>
        <w:t xml:space="preserve"> e, sulla base dei fondamentali che abbiamo potuto osservare finora, riteniamo che vi sia ancora un significativo margine di rialzo</w:t>
      </w:r>
      <w:r w:rsidR="00BB2658" w:rsidRPr="0094667D">
        <w:rPr>
          <w:rFonts w:ascii="Calibri" w:eastAsiaTheme="majorEastAsia" w:hAnsi="Calibri" w:cs="Calibri"/>
          <w:sz w:val="22"/>
          <w:szCs w:val="22"/>
          <w:lang w:val="it-IT"/>
        </w:rPr>
        <w:t>.</w:t>
      </w:r>
      <w:r w:rsidRPr="0094667D">
        <w:rPr>
          <w:rFonts w:ascii="Calibri" w:eastAsiaTheme="majorEastAsia" w:hAnsi="Calibri" w:cs="Calibri"/>
          <w:sz w:val="22"/>
          <w:szCs w:val="22"/>
          <w:lang w:val="it-IT"/>
        </w:rPr>
        <w:t xml:space="preserve"> </w:t>
      </w:r>
      <w:r w:rsidR="00BB2658" w:rsidRPr="0094667D">
        <w:rPr>
          <w:rFonts w:ascii="Calibri" w:eastAsiaTheme="majorEastAsia" w:hAnsi="Calibri" w:cs="Calibri"/>
          <w:sz w:val="22"/>
          <w:szCs w:val="22"/>
          <w:lang w:val="it-IT"/>
        </w:rPr>
        <w:t xml:space="preserve">Qui di seguito </w:t>
      </w:r>
      <w:r w:rsidR="002138B7" w:rsidRPr="0094667D">
        <w:rPr>
          <w:rFonts w:ascii="Calibri" w:eastAsiaTheme="majorEastAsia" w:hAnsi="Calibri" w:cs="Calibri"/>
          <w:sz w:val="22"/>
          <w:szCs w:val="22"/>
          <w:lang w:val="it-IT"/>
        </w:rPr>
        <w:t xml:space="preserve">i </w:t>
      </w:r>
      <w:r w:rsidR="00873D8F">
        <w:rPr>
          <w:rFonts w:ascii="Calibri" w:eastAsiaTheme="majorEastAsia" w:hAnsi="Calibri" w:cs="Calibri"/>
          <w:sz w:val="22"/>
          <w:szCs w:val="22"/>
          <w:lang w:val="it-IT"/>
        </w:rPr>
        <w:t>dieci</w:t>
      </w:r>
      <w:r w:rsidRPr="0094667D">
        <w:rPr>
          <w:rFonts w:ascii="Calibri" w:eastAsiaTheme="majorEastAsia" w:hAnsi="Calibri" w:cs="Calibri"/>
          <w:sz w:val="22"/>
          <w:szCs w:val="22"/>
          <w:lang w:val="it-IT"/>
        </w:rPr>
        <w:t xml:space="preserve"> punti per cui il rapporto rischio/rendimento dell’azionario cinese è ancora interessante.</w:t>
      </w:r>
    </w:p>
    <w:p w14:paraId="27834851" w14:textId="462B703D" w:rsidR="00B87768" w:rsidRPr="0094667D" w:rsidRDefault="00B87768" w:rsidP="00B87768">
      <w:pPr>
        <w:pStyle w:val="NormaleWeb"/>
        <w:shd w:val="clear" w:color="auto" w:fill="FFFFFF"/>
        <w:rPr>
          <w:rFonts w:ascii="Calibri" w:hAnsi="Calibri" w:cs="Calibri"/>
          <w:sz w:val="22"/>
          <w:szCs w:val="22"/>
          <w:lang w:val="it-IT"/>
        </w:rPr>
      </w:pPr>
      <w:r w:rsidRPr="0094667D">
        <w:rPr>
          <w:rFonts w:ascii="Calibri" w:hAnsi="Calibri" w:cs="Calibri"/>
          <w:sz w:val="22"/>
          <w:szCs w:val="22"/>
          <w:lang w:val="it-IT"/>
        </w:rPr>
        <w:t xml:space="preserve">Dopo la massiccia inversione di rotta della Cina, con lo smantellamento della sua politica </w:t>
      </w:r>
      <w:r w:rsidR="00FB23E2" w:rsidRPr="0094667D">
        <w:rPr>
          <w:rFonts w:ascii="Calibri" w:hAnsi="Calibri" w:cs="Calibri"/>
          <w:sz w:val="22"/>
          <w:szCs w:val="22"/>
          <w:lang w:val="it-IT"/>
        </w:rPr>
        <w:t xml:space="preserve">zero 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Covid, la maggior parte degli investitori è stata colta di sorpresa per la rapidità e l’ampiezza dell’intervento. </w:t>
      </w:r>
      <w:r w:rsidR="00873D8F" w:rsidRPr="00873D8F">
        <w:rPr>
          <w:rFonts w:ascii="Calibri" w:hAnsi="Calibri" w:cs="Calibri"/>
          <w:b/>
          <w:bCs/>
          <w:sz w:val="22"/>
          <w:szCs w:val="22"/>
          <w:lang w:val="it-IT"/>
        </w:rPr>
        <w:t>D</w:t>
      </w:r>
      <w:r w:rsidR="007D615E" w:rsidRPr="00873D8F">
        <w:rPr>
          <w:rFonts w:ascii="Calibri" w:hAnsi="Calibri" w:cs="Calibri"/>
          <w:b/>
          <w:bCs/>
          <w:sz w:val="22"/>
          <w:szCs w:val="22"/>
          <w:lang w:val="it-IT"/>
        </w:rPr>
        <w:t>a qualche mese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>, l’indice MSCI China è salito di circa il 50%.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Per gli investitori a breve termine, in particolare per quelli che si chiedono se sia un buon momento per acquistare azioni cinesi a livello di indice è comprensibile chiedersi se sia troppo tardi o se sia ancora</w:t>
      </w:r>
      <w:r w:rsidR="008B4355" w:rsidRPr="0094667D">
        <w:rPr>
          <w:rFonts w:ascii="Calibri" w:hAnsi="Calibri" w:cs="Calibri"/>
          <w:sz w:val="22"/>
          <w:szCs w:val="22"/>
          <w:lang w:val="it-IT"/>
        </w:rPr>
        <w:t xml:space="preserve"> possibile trovare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8B4355" w:rsidRPr="0094667D">
        <w:rPr>
          <w:rFonts w:ascii="Calibri" w:hAnsi="Calibri" w:cs="Calibri"/>
          <w:sz w:val="22"/>
          <w:szCs w:val="22"/>
          <w:lang w:val="it-IT"/>
        </w:rPr>
        <w:t>valore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8B4355" w:rsidRPr="0094667D">
        <w:rPr>
          <w:rFonts w:ascii="Calibri" w:hAnsi="Calibri" w:cs="Calibri"/>
          <w:sz w:val="22"/>
          <w:szCs w:val="22"/>
          <w:lang w:val="it-IT"/>
        </w:rPr>
        <w:t>D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obbiamo </w:t>
      </w:r>
      <w:r w:rsidR="008B4355" w:rsidRPr="0094667D">
        <w:rPr>
          <w:rFonts w:ascii="Calibri" w:hAnsi="Calibri" w:cs="Calibri"/>
          <w:sz w:val="22"/>
          <w:szCs w:val="22"/>
          <w:lang w:val="it-IT"/>
        </w:rPr>
        <w:t xml:space="preserve">però </w:t>
      </w:r>
      <w:r w:rsidRPr="0094667D">
        <w:rPr>
          <w:rFonts w:ascii="Calibri" w:hAnsi="Calibri" w:cs="Calibri"/>
          <w:sz w:val="22"/>
          <w:szCs w:val="22"/>
          <w:lang w:val="it-IT"/>
        </w:rPr>
        <w:t>ricordare che si tratta della seconda economia più grande a livello globale e</w:t>
      </w:r>
      <w:r w:rsidR="008B4355" w:rsidRPr="0094667D">
        <w:rPr>
          <w:rFonts w:ascii="Calibri" w:hAnsi="Calibri" w:cs="Calibri"/>
          <w:sz w:val="22"/>
          <w:szCs w:val="22"/>
          <w:lang w:val="it-IT"/>
        </w:rPr>
        <w:t xml:space="preserve"> che è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7D615E" w:rsidRPr="0094667D">
        <w:rPr>
          <w:rFonts w:ascii="Calibri" w:hAnsi="Calibri" w:cs="Calibri"/>
          <w:sz w:val="22"/>
          <w:szCs w:val="22"/>
          <w:lang w:val="it-IT"/>
        </w:rPr>
        <w:t>in continua espansione</w:t>
      </w:r>
      <w:r w:rsidRPr="0094667D">
        <w:rPr>
          <w:rFonts w:ascii="Calibri" w:hAnsi="Calibri" w:cs="Calibri"/>
          <w:sz w:val="22"/>
          <w:szCs w:val="22"/>
          <w:lang w:val="it-IT"/>
        </w:rPr>
        <w:t>, in termini di sviluppo, profondità e accesso al mercato azionario. Riteniamo che la maggiore attrattiva dell’investimento in azioni cinesi sia rappresentata dalle numerose opportunità di alfa idiosincratico ancora disponibili.</w:t>
      </w:r>
    </w:p>
    <w:p w14:paraId="727A01D2" w14:textId="5411128A" w:rsidR="00B87768" w:rsidRPr="0094667D" w:rsidRDefault="00B87768" w:rsidP="00B87768">
      <w:pPr>
        <w:pStyle w:val="NormaleWeb"/>
        <w:shd w:val="clear" w:color="auto" w:fill="FFFFFF"/>
        <w:rPr>
          <w:rFonts w:ascii="Calibri" w:hAnsi="Calibri" w:cs="Calibri"/>
          <w:sz w:val="22"/>
          <w:szCs w:val="22"/>
          <w:lang w:val="it-IT"/>
        </w:rPr>
      </w:pP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>Ora si punta molto sulla domanda repressa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B23E2" w:rsidRPr="0094667D">
        <w:rPr>
          <w:rFonts w:ascii="Calibri" w:hAnsi="Calibri" w:cs="Calibri"/>
          <w:sz w:val="22"/>
          <w:szCs w:val="22"/>
          <w:lang w:val="it-IT"/>
        </w:rPr>
        <w:t>perché</w:t>
      </w:r>
      <w:r w:rsidR="007D615E" w:rsidRPr="0094667D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8B4355" w:rsidRPr="0094667D">
        <w:rPr>
          <w:rFonts w:ascii="Calibri" w:hAnsi="Calibri" w:cs="Calibri"/>
          <w:sz w:val="22"/>
          <w:szCs w:val="22"/>
          <w:lang w:val="it-IT"/>
        </w:rPr>
        <w:t>finito</w:t>
      </w:r>
      <w:r w:rsidR="007D615E" w:rsidRPr="0094667D">
        <w:rPr>
          <w:rFonts w:ascii="Calibri" w:hAnsi="Calibri" w:cs="Calibri"/>
          <w:sz w:val="22"/>
          <w:szCs w:val="22"/>
          <w:lang w:val="it-IT"/>
        </w:rPr>
        <w:t xml:space="preserve"> il lockdown,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la gente </w:t>
      </w:r>
      <w:r w:rsidR="00873D8F">
        <w:rPr>
          <w:rFonts w:ascii="Calibri" w:hAnsi="Calibri" w:cs="Calibri"/>
          <w:sz w:val="22"/>
          <w:szCs w:val="22"/>
          <w:lang w:val="it-IT"/>
        </w:rPr>
        <w:t>desidera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cenare fuori, incontrare persone e viaggiare. 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Con la ripresa </w:t>
      </w:r>
      <w:r w:rsidR="007D615E" w:rsidRPr="00873D8F">
        <w:rPr>
          <w:rFonts w:ascii="Calibri" w:hAnsi="Calibri" w:cs="Calibri"/>
          <w:b/>
          <w:bCs/>
          <w:sz w:val="22"/>
          <w:szCs w:val="22"/>
          <w:lang w:val="it-IT"/>
        </w:rPr>
        <w:t>delle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 attività, dovrebbe</w:t>
      </w:r>
      <w:r w:rsidR="00AB682D" w:rsidRPr="00873D8F">
        <w:rPr>
          <w:rFonts w:ascii="Calibri" w:hAnsi="Calibri" w:cs="Calibri"/>
          <w:b/>
          <w:bCs/>
          <w:sz w:val="22"/>
          <w:szCs w:val="22"/>
          <w:lang w:val="it-IT"/>
        </w:rPr>
        <w:t>ro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 aumentare </w:t>
      </w:r>
      <w:r w:rsidR="00AB682D"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in modo significativo 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anche </w:t>
      </w:r>
      <w:r w:rsidR="00AB682D" w:rsidRPr="00873D8F">
        <w:rPr>
          <w:rFonts w:ascii="Calibri" w:hAnsi="Calibri" w:cs="Calibri"/>
          <w:b/>
          <w:bCs/>
          <w:sz w:val="22"/>
          <w:szCs w:val="22"/>
          <w:lang w:val="it-IT"/>
        </w:rPr>
        <w:t>i consumi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>.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La capacità di spesa è un altro motivo per cui i consumi potrebbero aumentare nel breve periodo. Le statistiche governative mostrano che durante gli ultimi tre anni di blocco, 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>la famiglia cinese media ha accumulato un bel po’ di risparmi. Alcuni economisti stimano che questo risparmio</w:t>
      </w:r>
      <w:r w:rsidR="007D615E"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 in eccesso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 possa raggiungere il 5-10% del P</w:t>
      </w:r>
      <w:r w:rsidR="008B4355" w:rsidRPr="00873D8F">
        <w:rPr>
          <w:rFonts w:ascii="Calibri" w:hAnsi="Calibri" w:cs="Calibri"/>
          <w:b/>
          <w:bCs/>
          <w:sz w:val="22"/>
          <w:szCs w:val="22"/>
          <w:lang w:val="it-IT"/>
        </w:rPr>
        <w:t>il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>.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Il governo ha dichiarato che “rilanciare con forza la fiducia del mercato” sarà una priorità politica per il 2023 e ha indicato il sostegno alla spesa in settori selezionati.</w:t>
      </w:r>
    </w:p>
    <w:p w14:paraId="0C530EA3" w14:textId="77777777" w:rsidR="00873D8F" w:rsidRDefault="00B87768" w:rsidP="00B87768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94667D">
        <w:rPr>
          <w:rFonts w:ascii="Calibri" w:hAnsi="Calibri" w:cs="Calibri"/>
          <w:sz w:val="22"/>
          <w:szCs w:val="22"/>
          <w:u w:val="single"/>
          <w:lang w:val="it-IT"/>
        </w:rPr>
        <w:t>Come</w:t>
      </w:r>
      <w:r w:rsidR="007D615E" w:rsidRPr="0094667D">
        <w:rPr>
          <w:rFonts w:ascii="Calibri" w:hAnsi="Calibri" w:cs="Calibri"/>
          <w:sz w:val="22"/>
          <w:szCs w:val="22"/>
          <w:u w:val="single"/>
          <w:lang w:val="it-IT"/>
        </w:rPr>
        <w:t xml:space="preserve"> gli investitori</w:t>
      </w:r>
      <w:r w:rsidRPr="0094667D">
        <w:rPr>
          <w:rFonts w:ascii="Calibri" w:hAnsi="Calibri" w:cs="Calibri"/>
          <w:sz w:val="22"/>
          <w:szCs w:val="22"/>
          <w:u w:val="single"/>
          <w:lang w:val="it-IT"/>
        </w:rPr>
        <w:t xml:space="preserve"> possono trar</w:t>
      </w:r>
      <w:r w:rsidR="007D615E" w:rsidRPr="0094667D">
        <w:rPr>
          <w:rFonts w:ascii="Calibri" w:hAnsi="Calibri" w:cs="Calibri"/>
          <w:sz w:val="22"/>
          <w:szCs w:val="22"/>
          <w:u w:val="single"/>
          <w:lang w:val="it-IT"/>
        </w:rPr>
        <w:t>n</w:t>
      </w:r>
      <w:r w:rsidRPr="0094667D">
        <w:rPr>
          <w:rFonts w:ascii="Calibri" w:hAnsi="Calibri" w:cs="Calibri"/>
          <w:sz w:val="22"/>
          <w:szCs w:val="22"/>
          <w:u w:val="single"/>
          <w:lang w:val="it-IT"/>
        </w:rPr>
        <w:t>e vantaggio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2B754AD5" w14:textId="156019B6" w:rsidR="00B87768" w:rsidRPr="00873D8F" w:rsidRDefault="00B87768" w:rsidP="00B87768">
      <w:pPr>
        <w:pStyle w:val="NormaleWeb"/>
        <w:shd w:val="clear" w:color="auto" w:fill="FFFFFF"/>
        <w:contextualSpacing/>
        <w:rPr>
          <w:rFonts w:ascii="Calibri" w:hAnsi="Calibri" w:cs="Calibri"/>
          <w:b/>
          <w:bCs/>
          <w:sz w:val="22"/>
          <w:szCs w:val="22"/>
          <w:lang w:val="it-IT"/>
        </w:rPr>
      </w:pPr>
      <w:r w:rsidRPr="0094667D">
        <w:rPr>
          <w:rFonts w:ascii="Calibri" w:hAnsi="Calibri" w:cs="Calibri"/>
          <w:sz w:val="22"/>
          <w:szCs w:val="22"/>
          <w:lang w:val="it-IT"/>
        </w:rPr>
        <w:t xml:space="preserve">Forse non è una sorpresa che i </w:t>
      </w:r>
      <w:r w:rsidR="00102B52" w:rsidRPr="0094667D">
        <w:rPr>
          <w:rFonts w:ascii="Calibri" w:hAnsi="Calibri" w:cs="Calibri"/>
          <w:sz w:val="22"/>
          <w:szCs w:val="22"/>
          <w:lang w:val="it-IT"/>
        </w:rPr>
        <w:t xml:space="preserve">titoli delle società che hanno goduto 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delle riaperture e dei consumi repressi siano stati i primi a salire l’anno scorso e di conseguenza molti di questi </w:t>
      </w:r>
      <w:r w:rsidR="00102B52" w:rsidRPr="0094667D">
        <w:rPr>
          <w:rFonts w:ascii="Calibri" w:hAnsi="Calibri" w:cs="Calibri"/>
          <w:sz w:val="22"/>
          <w:szCs w:val="22"/>
          <w:lang w:val="it-IT"/>
        </w:rPr>
        <w:t xml:space="preserve">titoli 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non </w:t>
      </w:r>
      <w:r w:rsidR="008A2F9A" w:rsidRPr="0094667D">
        <w:rPr>
          <w:rFonts w:ascii="Calibri" w:hAnsi="Calibri" w:cs="Calibri"/>
          <w:sz w:val="22"/>
          <w:szCs w:val="22"/>
          <w:lang w:val="it-IT"/>
        </w:rPr>
        <w:t xml:space="preserve">si trovano 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più a valutazioni stracciate. 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Molti </w:t>
      </w:r>
      <w:r w:rsidR="00083CDF" w:rsidRPr="00873D8F">
        <w:rPr>
          <w:rFonts w:ascii="Calibri" w:hAnsi="Calibri" w:cs="Calibri"/>
          <w:b/>
          <w:bCs/>
          <w:sz w:val="22"/>
          <w:szCs w:val="22"/>
          <w:lang w:val="it-IT"/>
        </w:rPr>
        <w:t>titoli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 sono passati dall’essere a buon mercato nell’ottobre dello scorso anno, a registra</w:t>
      </w:r>
      <w:r w:rsidR="00083CDF" w:rsidRPr="00873D8F">
        <w:rPr>
          <w:rFonts w:ascii="Calibri" w:hAnsi="Calibri" w:cs="Calibri"/>
          <w:b/>
          <w:bCs/>
          <w:sz w:val="22"/>
          <w:szCs w:val="22"/>
          <w:lang w:val="it-IT"/>
        </w:rPr>
        <w:t>re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 un rally negli ultimi tre mesi</w:t>
      </w:r>
      <w:r w:rsidRPr="0094667D">
        <w:rPr>
          <w:rFonts w:ascii="Calibri" w:hAnsi="Calibri" w:cs="Calibri"/>
          <w:sz w:val="22"/>
          <w:szCs w:val="22"/>
          <w:lang w:val="it-IT"/>
        </w:rPr>
        <w:t>, in modo un po’ indiscriminato. Per questo motivo, nel corso di quest’anno, saremo impegnati a monitorare la velocità di ripresa dell’attività economica e la destinazione dei risparmi in eccesso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. Alcuni </w:t>
      </w:r>
      <w:r w:rsidR="008B4355"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titoli che, negli ultimi tre mesi, hanno visto impennare le loro valutazioni 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>deluderanno sui fondamentali, mentre altri supereranno le aspettative.</w:t>
      </w:r>
    </w:p>
    <w:p w14:paraId="22C70814" w14:textId="77777777" w:rsidR="00873D8F" w:rsidRPr="0094667D" w:rsidRDefault="00873D8F" w:rsidP="00B87768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4DC48B58" w14:textId="323DAAF8" w:rsidR="00B87768" w:rsidRPr="0094667D" w:rsidRDefault="00B87768" w:rsidP="00B87768">
      <w:pPr>
        <w:pStyle w:val="NormaleWeb"/>
        <w:shd w:val="clear" w:color="auto" w:fill="FFFFFF"/>
        <w:rPr>
          <w:rFonts w:ascii="Calibri" w:hAnsi="Calibri" w:cs="Calibri"/>
          <w:sz w:val="22"/>
          <w:szCs w:val="22"/>
          <w:lang w:val="it-IT"/>
        </w:rPr>
      </w:pPr>
      <w:r w:rsidRPr="0094667D">
        <w:rPr>
          <w:rFonts w:ascii="Calibri" w:hAnsi="Calibri" w:cs="Calibri"/>
          <w:sz w:val="22"/>
          <w:szCs w:val="22"/>
          <w:lang w:val="it-IT"/>
        </w:rPr>
        <w:t xml:space="preserve">Negli ultimi anni, 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il giro di vite del governo sulle società </w:t>
      </w:r>
      <w:r w:rsidR="009E1041"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tech 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>è stato uno dei motivi principali del crescente scetticismo nei confronti del mercato azionario cinese, oltre al giro di vite normativo su altre attività del settore privato</w:t>
      </w:r>
      <w:r w:rsidR="009E1041" w:rsidRPr="0094667D">
        <w:rPr>
          <w:rFonts w:ascii="Calibri" w:hAnsi="Calibri" w:cs="Calibri"/>
          <w:sz w:val="22"/>
          <w:szCs w:val="22"/>
          <w:lang w:val="it-IT"/>
        </w:rPr>
        <w:t xml:space="preserve">. 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Alla fine del 2020, il braccio finanziario di </w:t>
      </w:r>
      <w:proofErr w:type="spellStart"/>
      <w:r w:rsidRPr="0094667D">
        <w:rPr>
          <w:rFonts w:ascii="Calibri" w:hAnsi="Calibri" w:cs="Calibri"/>
          <w:sz w:val="22"/>
          <w:szCs w:val="22"/>
          <w:lang w:val="it-IT"/>
        </w:rPr>
        <w:t>Alibaba</w:t>
      </w:r>
      <w:proofErr w:type="spellEnd"/>
      <w:r w:rsidRPr="0094667D">
        <w:rPr>
          <w:rFonts w:ascii="Calibri" w:hAnsi="Calibri" w:cs="Calibri"/>
          <w:sz w:val="22"/>
          <w:szCs w:val="22"/>
          <w:lang w:val="it-IT"/>
        </w:rPr>
        <w:t>, Ant Group, è stato bloccato da</w:t>
      </w:r>
      <w:r w:rsidR="008B4355" w:rsidRPr="0094667D">
        <w:rPr>
          <w:rFonts w:ascii="Calibri" w:hAnsi="Calibri" w:cs="Calibri"/>
          <w:sz w:val="22"/>
          <w:szCs w:val="22"/>
          <w:lang w:val="it-IT"/>
        </w:rPr>
        <w:t>l portare a termine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un’importante I</w:t>
      </w:r>
      <w:r w:rsidR="008B4355" w:rsidRPr="0094667D">
        <w:rPr>
          <w:rFonts w:ascii="Calibri" w:hAnsi="Calibri" w:cs="Calibri"/>
          <w:sz w:val="22"/>
          <w:szCs w:val="22"/>
          <w:lang w:val="it-IT"/>
        </w:rPr>
        <w:t>po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che si prevedeva fosse di 300 miliardi di dollari. 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All’inizio di quest’anno, Ant Group è stata finalmente autorizzata ad aumentare il proprio capitale. </w:t>
      </w:r>
      <w:r w:rsidRPr="0094667D">
        <w:rPr>
          <w:rFonts w:ascii="Calibri" w:hAnsi="Calibri" w:cs="Calibri"/>
          <w:sz w:val="22"/>
          <w:szCs w:val="22"/>
          <w:lang w:val="it-IT"/>
        </w:rPr>
        <w:t>Le preoccupazioni dei regolatori sembrano ora attenuarsi e il delta è certamente più positivo.</w:t>
      </w:r>
    </w:p>
    <w:p w14:paraId="08229121" w14:textId="025810B6" w:rsidR="00B87768" w:rsidRPr="0094667D" w:rsidRDefault="00B87768" w:rsidP="00B87768">
      <w:pPr>
        <w:pStyle w:val="NormaleWeb"/>
        <w:shd w:val="clear" w:color="auto" w:fill="FFFFFF"/>
        <w:rPr>
          <w:rFonts w:ascii="Calibri" w:hAnsi="Calibri" w:cs="Calibri"/>
          <w:sz w:val="22"/>
          <w:szCs w:val="22"/>
          <w:lang w:val="it-IT"/>
        </w:rPr>
      </w:pP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Il miglioramento della situazione in Cina </w:t>
      </w:r>
      <w:r w:rsidR="009E1041" w:rsidRPr="00873D8F">
        <w:rPr>
          <w:rFonts w:ascii="Calibri" w:hAnsi="Calibri" w:cs="Calibri"/>
          <w:b/>
          <w:bCs/>
          <w:sz w:val="22"/>
          <w:szCs w:val="22"/>
          <w:lang w:val="it-IT"/>
        </w:rPr>
        <w:t>sarà</w:t>
      </w:r>
      <w:r w:rsidRPr="00873D8F">
        <w:rPr>
          <w:rFonts w:ascii="Calibri" w:hAnsi="Calibri" w:cs="Calibri"/>
          <w:b/>
          <w:bCs/>
          <w:sz w:val="22"/>
          <w:szCs w:val="22"/>
          <w:lang w:val="it-IT"/>
        </w:rPr>
        <w:t xml:space="preserve"> probabilmente un motore di crescita per i Paesi asiatici con forti legami economici con </w:t>
      </w:r>
      <w:r w:rsidR="008B4355" w:rsidRPr="00873D8F">
        <w:rPr>
          <w:rFonts w:ascii="Calibri" w:hAnsi="Calibri" w:cs="Calibri"/>
          <w:b/>
          <w:bCs/>
          <w:sz w:val="22"/>
          <w:szCs w:val="22"/>
          <w:lang w:val="it-IT"/>
        </w:rPr>
        <w:t>il Paese</w:t>
      </w:r>
      <w:r w:rsidRPr="0094667D">
        <w:rPr>
          <w:rFonts w:ascii="Calibri" w:hAnsi="Calibri" w:cs="Calibri"/>
          <w:sz w:val="22"/>
          <w:szCs w:val="22"/>
          <w:lang w:val="it-IT"/>
        </w:rPr>
        <w:t>. Giappone, Corea e Tailandia sono destinazioni turistiche popolari per i turisti cinesi, mentre Corea, Giappone e Australia hanno molte esportazioni in Cina. Sebbene</w:t>
      </w:r>
      <w:r w:rsidR="009E1041" w:rsidRPr="0094667D">
        <w:rPr>
          <w:rFonts w:ascii="Calibri" w:hAnsi="Calibri" w:cs="Calibri"/>
          <w:sz w:val="22"/>
          <w:szCs w:val="22"/>
          <w:lang w:val="it-IT"/>
        </w:rPr>
        <w:t xml:space="preserve"> quest’anno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l’economia globale </w:t>
      </w:r>
      <w:r w:rsidR="00CF3A0C">
        <w:rPr>
          <w:rFonts w:ascii="Calibri" w:hAnsi="Calibri" w:cs="Calibri"/>
          <w:sz w:val="22"/>
          <w:szCs w:val="22"/>
          <w:lang w:val="it-IT"/>
        </w:rPr>
        <w:t>potrebbe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registrare un rallentamento della crescita, il riavvio dell’attività della Cina dovrebbe contribuire a compensare in qualche misura questa </w:t>
      </w:r>
      <w:r w:rsidRPr="0094667D">
        <w:rPr>
          <w:rFonts w:ascii="Calibri" w:hAnsi="Calibri" w:cs="Calibri"/>
          <w:sz w:val="22"/>
          <w:szCs w:val="22"/>
          <w:lang w:val="it-IT"/>
        </w:rPr>
        <w:lastRenderedPageBreak/>
        <w:t xml:space="preserve">situazione. </w:t>
      </w:r>
      <w:r w:rsidR="008B4355" w:rsidRPr="0094667D">
        <w:rPr>
          <w:rFonts w:ascii="Calibri" w:hAnsi="Calibri" w:cs="Calibri"/>
          <w:sz w:val="22"/>
          <w:szCs w:val="22"/>
          <w:lang w:val="it-IT"/>
        </w:rPr>
        <w:t>Tuttavia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, cresce la preoccupazione su quanto possa essere “discontinuo” e se possa creare pressioni inflazionistiche a livello globale, anche se sporadiche. 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La domanda sta tornando, ma l’offerta deve essere riportata ai livelli </w:t>
      </w:r>
      <w:proofErr w:type="spellStart"/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>pre</w:t>
      </w:r>
      <w:proofErr w:type="spellEnd"/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-pandemici per poter essere </w:t>
      </w:r>
      <w:r w:rsidR="00CF3A0C" w:rsidRPr="00CF3A0C">
        <w:rPr>
          <w:rFonts w:ascii="Calibri" w:hAnsi="Calibri" w:cs="Calibri"/>
          <w:b/>
          <w:bCs/>
          <w:sz w:val="22"/>
          <w:szCs w:val="22"/>
          <w:lang w:val="it-IT"/>
        </w:rPr>
        <w:t>soddisfatta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>.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Si tratta di un aspetto da monitorare nel corso del 2023.</w:t>
      </w:r>
    </w:p>
    <w:p w14:paraId="3B5A1CDC" w14:textId="4AF40CE2" w:rsidR="001109F3" w:rsidRPr="0094667D" w:rsidRDefault="00B87768" w:rsidP="00B87768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u w:val="single"/>
          <w:lang w:val="it-IT"/>
        </w:rPr>
      </w:pPr>
      <w:r w:rsidRPr="0094667D">
        <w:rPr>
          <w:rFonts w:ascii="Calibri" w:hAnsi="Calibri" w:cs="Calibri"/>
          <w:sz w:val="22"/>
          <w:szCs w:val="22"/>
          <w:u w:val="single"/>
          <w:lang w:val="it-IT"/>
        </w:rPr>
        <w:t>Una nuova normalità</w:t>
      </w:r>
    </w:p>
    <w:p w14:paraId="45135E79" w14:textId="74BCE748" w:rsidR="00B87768" w:rsidRDefault="00B87768" w:rsidP="00B87768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La pandemia ha mostrato come le catene di approvvigionamento eccessivamente concentrate possano essere vulnerabili, </w:t>
      </w:r>
      <w:r w:rsidR="00CC7BAC" w:rsidRPr="00CF3A0C">
        <w:rPr>
          <w:rFonts w:ascii="Calibri" w:hAnsi="Calibri" w:cs="Calibri"/>
          <w:b/>
          <w:bCs/>
          <w:sz w:val="22"/>
          <w:szCs w:val="22"/>
          <w:lang w:val="it-IT"/>
        </w:rPr>
        <w:t>inoltre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 c’è incertezza </w:t>
      </w:r>
      <w:r w:rsidR="001109F3"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per quanto riguarda la 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>deglobalizzazione.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A nostro avviso, gli ultimi anni sono stati un importante campanello d’allarme per le aziende e i settori che avevano una catena di fornitura particolarmente sbilanciata. L’inizio di uno spostamento verso altri Paesi asiatici è un fenomeno che vedremo manifestarsi lentamente ma chiaramente nei prossimi anni. 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>Apple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ne è un esempio. Secondo quanto riferito, 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sta cercando di accelerare i piani per spostare la produzione dalla Cina a </w:t>
      </w:r>
      <w:r w:rsidR="001109F3" w:rsidRPr="00CF3A0C">
        <w:rPr>
          <w:rFonts w:ascii="Calibri" w:hAnsi="Calibri" w:cs="Calibri"/>
          <w:b/>
          <w:bCs/>
          <w:sz w:val="22"/>
          <w:szCs w:val="22"/>
          <w:lang w:val="it-IT"/>
        </w:rPr>
        <w:t>p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>aesi come l’India e il Vietnam.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Potrebbero volerci anni, ma se i grandi nomi come Apple si </w:t>
      </w:r>
      <w:r w:rsidR="00E47D67">
        <w:rPr>
          <w:rFonts w:ascii="Calibri" w:hAnsi="Calibri" w:cs="Calibri"/>
          <w:sz w:val="22"/>
          <w:szCs w:val="22"/>
          <w:lang w:val="it-IT"/>
        </w:rPr>
        <w:t>muoveranno in questa direzione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potrebbe davvero essere un catalizzatore per altre aziende.</w:t>
      </w:r>
    </w:p>
    <w:p w14:paraId="0E01B5E3" w14:textId="77777777" w:rsidR="00CF3A0C" w:rsidRPr="0094667D" w:rsidRDefault="00CF3A0C" w:rsidP="00B87768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131C2CE3" w14:textId="23FC51C9" w:rsidR="00B87768" w:rsidRPr="0094667D" w:rsidRDefault="001109F3" w:rsidP="00B87768">
      <w:pPr>
        <w:pStyle w:val="NormaleWeb"/>
        <w:shd w:val="clear" w:color="auto" w:fill="FFFFFF"/>
        <w:rPr>
          <w:rFonts w:ascii="Calibri" w:hAnsi="Calibri" w:cs="Calibri"/>
          <w:sz w:val="22"/>
          <w:szCs w:val="22"/>
          <w:lang w:val="it-IT"/>
        </w:rPr>
      </w:pP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Dal punto di vista </w:t>
      </w:r>
      <w:r w:rsidR="00B87768" w:rsidRPr="00CF3A0C">
        <w:rPr>
          <w:rFonts w:ascii="Calibri" w:hAnsi="Calibri" w:cs="Calibri"/>
          <w:b/>
          <w:bCs/>
          <w:sz w:val="22"/>
          <w:szCs w:val="22"/>
          <w:lang w:val="it-IT"/>
        </w:rPr>
        <w:t>ESG</w:t>
      </w:r>
      <w:r w:rsidR="00CF3A0C" w:rsidRPr="00CF3A0C">
        <w:rPr>
          <w:rFonts w:ascii="Calibri" w:hAnsi="Calibri" w:cs="Calibri"/>
          <w:b/>
          <w:bCs/>
          <w:sz w:val="22"/>
          <w:szCs w:val="22"/>
          <w:lang w:val="it-IT"/>
        </w:rPr>
        <w:t>, in</w:t>
      </w:r>
      <w:r w:rsidR="00CC7BAC"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 Asia, </w:t>
      </w:r>
      <w:r w:rsidR="009E1041"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negli ultimi decenni, </w:t>
      </w:r>
      <w:r w:rsidR="00CC7BAC" w:rsidRPr="00CF3A0C">
        <w:rPr>
          <w:rFonts w:ascii="Calibri" w:hAnsi="Calibri" w:cs="Calibri"/>
          <w:b/>
          <w:bCs/>
          <w:sz w:val="22"/>
          <w:szCs w:val="22"/>
          <w:lang w:val="it-IT"/>
        </w:rPr>
        <w:t>abbiamo assistito</w:t>
      </w:r>
      <w:r w:rsidR="00B87768"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 a notevoli miglioramenti</w:t>
      </w:r>
      <w:r w:rsidR="00B87768" w:rsidRPr="0094667D">
        <w:rPr>
          <w:rFonts w:ascii="Calibri" w:hAnsi="Calibri" w:cs="Calibri"/>
          <w:sz w:val="22"/>
          <w:szCs w:val="22"/>
          <w:lang w:val="it-IT"/>
        </w:rPr>
        <w:t xml:space="preserve"> e abbiamo osservato che la consapevolezza e la relativa divulgazione aziendale 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in questo ambito </w:t>
      </w:r>
      <w:r w:rsidR="00B87768" w:rsidRPr="0094667D">
        <w:rPr>
          <w:rFonts w:ascii="Calibri" w:hAnsi="Calibri" w:cs="Calibri"/>
          <w:sz w:val="22"/>
          <w:szCs w:val="22"/>
          <w:lang w:val="it-IT"/>
        </w:rPr>
        <w:t xml:space="preserve">hanno fatto passi da gigante. La maggior parte delle principali economie asiatiche, compresa la Cina, si sono impegnate a essere </w:t>
      </w:r>
      <w:r w:rsidR="00B87768" w:rsidRPr="00CF3A0C">
        <w:rPr>
          <w:rFonts w:ascii="Calibri" w:hAnsi="Calibri" w:cs="Calibri"/>
          <w:b/>
          <w:bCs/>
          <w:sz w:val="22"/>
          <w:szCs w:val="22"/>
          <w:lang w:val="it-IT"/>
        </w:rPr>
        <w:t>neutrali rispetto alle emissioni di anidride carbonica</w:t>
      </w:r>
      <w:r w:rsidR="00B87768" w:rsidRPr="0094667D">
        <w:rPr>
          <w:rFonts w:ascii="Calibri" w:hAnsi="Calibri" w:cs="Calibri"/>
          <w:sz w:val="22"/>
          <w:szCs w:val="22"/>
          <w:lang w:val="it-IT"/>
        </w:rPr>
        <w:t xml:space="preserve"> e ora è più facile confrontarci con le società partecipate su come considerano l</w:t>
      </w:r>
      <w:r w:rsidR="00CC7BAC" w:rsidRPr="0094667D">
        <w:rPr>
          <w:rFonts w:ascii="Calibri" w:hAnsi="Calibri" w:cs="Calibri"/>
          <w:sz w:val="22"/>
          <w:szCs w:val="22"/>
          <w:lang w:val="it-IT"/>
        </w:rPr>
        <w:t>a</w:t>
      </w:r>
      <w:r w:rsidR="00B87768" w:rsidRPr="0094667D">
        <w:rPr>
          <w:rFonts w:ascii="Calibri" w:hAnsi="Calibri" w:cs="Calibri"/>
          <w:sz w:val="22"/>
          <w:szCs w:val="22"/>
          <w:lang w:val="it-IT"/>
        </w:rPr>
        <w:t xml:space="preserve"> loro impront</w:t>
      </w:r>
      <w:r w:rsidR="00CC7BAC" w:rsidRPr="0094667D">
        <w:rPr>
          <w:rFonts w:ascii="Calibri" w:hAnsi="Calibri" w:cs="Calibri"/>
          <w:sz w:val="22"/>
          <w:szCs w:val="22"/>
          <w:lang w:val="it-IT"/>
        </w:rPr>
        <w:t>a</w:t>
      </w:r>
      <w:r w:rsidR="00B87768" w:rsidRPr="0094667D">
        <w:rPr>
          <w:rFonts w:ascii="Calibri" w:hAnsi="Calibri" w:cs="Calibri"/>
          <w:sz w:val="22"/>
          <w:szCs w:val="22"/>
          <w:lang w:val="it-IT"/>
        </w:rPr>
        <w:t xml:space="preserve"> di carbonio e i rischi della transizione energetica per le loro attività. Lo stesso vale per altre questioni ESG legate al sociale o alla governance.</w:t>
      </w:r>
    </w:p>
    <w:p w14:paraId="3AF2CDA4" w14:textId="050D4718" w:rsidR="00B87768" w:rsidRPr="0094667D" w:rsidRDefault="00B87768" w:rsidP="00B87768">
      <w:pPr>
        <w:pStyle w:val="NormaleWeb"/>
        <w:shd w:val="clear" w:color="auto" w:fill="FFFFFF"/>
        <w:rPr>
          <w:rFonts w:ascii="Calibri" w:hAnsi="Calibri" w:cs="Calibri"/>
          <w:sz w:val="22"/>
          <w:szCs w:val="22"/>
          <w:lang w:val="it-IT"/>
        </w:rPr>
      </w:pP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La Cina ha </w:t>
      </w:r>
      <w:r w:rsidR="001109F3"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una solida 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industria </w:t>
      </w:r>
      <w:r w:rsidR="00B45733" w:rsidRPr="00CF3A0C">
        <w:rPr>
          <w:rFonts w:ascii="Calibri" w:hAnsi="Calibri" w:cs="Calibri"/>
          <w:b/>
          <w:bCs/>
          <w:sz w:val="22"/>
          <w:szCs w:val="22"/>
          <w:lang w:val="it-IT"/>
        </w:rPr>
        <w:t>nell’ambito</w:t>
      </w:r>
      <w:r w:rsidR="001109F3"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>delle energie rinnovabili e</w:t>
      </w:r>
      <w:r w:rsidR="001109F3"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 nel 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settore dei veicoli elettrici. </w:t>
      </w:r>
      <w:r w:rsidRPr="0094667D">
        <w:rPr>
          <w:rFonts w:ascii="Calibri" w:hAnsi="Calibri" w:cs="Calibri"/>
          <w:sz w:val="22"/>
          <w:szCs w:val="22"/>
          <w:lang w:val="it-IT"/>
        </w:rPr>
        <w:t>Le aziende hanno investito in modo aggressivo in R&amp;S e in capacità produttiva lungo tutta la catena di fornitura, sia per la domanda interna sia per accrescere i propri vantaggi competitivi a livello globale. Queste aziende vedono nella sostenibilità un motore di crescita e costruiscono i loro modelli di business di conseguenza.</w:t>
      </w:r>
    </w:p>
    <w:p w14:paraId="7BAD6831" w14:textId="17FD57E7" w:rsidR="00B45733" w:rsidRPr="0094667D" w:rsidRDefault="00B45733" w:rsidP="00B87768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94667D">
        <w:rPr>
          <w:rFonts w:ascii="Calibri" w:hAnsi="Calibri" w:cs="Calibri"/>
          <w:sz w:val="22"/>
          <w:szCs w:val="22"/>
          <w:u w:val="single"/>
          <w:lang w:val="it-IT"/>
        </w:rPr>
        <w:t>Quali sono le prospettive?</w:t>
      </w:r>
    </w:p>
    <w:p w14:paraId="67DB96F0" w14:textId="6C411ABD" w:rsidR="006E49B2" w:rsidRPr="0094667D" w:rsidRDefault="00B87768" w:rsidP="00B87768">
      <w:pPr>
        <w:pStyle w:val="NormaleWeb"/>
        <w:shd w:val="clear" w:color="auto" w:fill="FFFFFF"/>
        <w:contextualSpacing/>
        <w:rPr>
          <w:rFonts w:ascii="Calibri" w:hAnsi="Calibri" w:cs="Calibri"/>
          <w:sz w:val="22"/>
          <w:szCs w:val="22"/>
          <w:lang w:val="it-IT"/>
        </w:rPr>
      </w:pP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Crediamo che gli investitori azionari possano ancora trovare </w:t>
      </w:r>
      <w:r w:rsidR="00B45733" w:rsidRPr="00CF3A0C">
        <w:rPr>
          <w:rFonts w:ascii="Calibri" w:hAnsi="Calibri" w:cs="Calibri"/>
          <w:b/>
          <w:bCs/>
          <w:sz w:val="22"/>
          <w:szCs w:val="22"/>
          <w:lang w:val="it-IT"/>
        </w:rPr>
        <w:t>valore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, ma che sia necessario essere selettivi, comprendendo attentamente ciò che sta accadendo </w:t>
      </w:r>
      <w:r w:rsidR="00CF3A0C">
        <w:rPr>
          <w:rFonts w:ascii="Calibri" w:hAnsi="Calibri" w:cs="Calibri"/>
          <w:b/>
          <w:bCs/>
          <w:sz w:val="22"/>
          <w:szCs w:val="22"/>
          <w:lang w:val="it-IT"/>
        </w:rPr>
        <w:t>a livello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 d</w:t>
      </w:r>
      <w:r w:rsidR="00CF3A0C">
        <w:rPr>
          <w:rFonts w:ascii="Calibri" w:hAnsi="Calibri" w:cs="Calibri"/>
          <w:b/>
          <w:bCs/>
          <w:sz w:val="22"/>
          <w:szCs w:val="22"/>
          <w:lang w:val="it-IT"/>
        </w:rPr>
        <w:t>e</w:t>
      </w:r>
      <w:r w:rsidRPr="00CF3A0C">
        <w:rPr>
          <w:rFonts w:ascii="Calibri" w:hAnsi="Calibri" w:cs="Calibri"/>
          <w:b/>
          <w:bCs/>
          <w:sz w:val="22"/>
          <w:szCs w:val="22"/>
          <w:lang w:val="it-IT"/>
        </w:rPr>
        <w:t xml:space="preserve">i fondamentali. 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Continuiamo a svolgere una due diligence diretta e, in particolare, la nostra comprensione specifica del settore sulla materialità ESG di ogni azienda fa davvero la differenza. Come sempre, il nostro approccio </w:t>
      </w:r>
      <w:r w:rsidR="00B45733" w:rsidRPr="0094667D">
        <w:rPr>
          <w:rFonts w:ascii="Calibri" w:hAnsi="Calibri" w:cs="Calibri"/>
          <w:sz w:val="22"/>
          <w:szCs w:val="22"/>
          <w:lang w:val="it-IT"/>
        </w:rPr>
        <w:t xml:space="preserve">sui </w:t>
      </w:r>
      <w:r w:rsidRPr="0094667D">
        <w:rPr>
          <w:rFonts w:ascii="Calibri" w:hAnsi="Calibri" w:cs="Calibri"/>
          <w:sz w:val="22"/>
          <w:szCs w:val="22"/>
          <w:lang w:val="it-IT"/>
        </w:rPr>
        <w:t>fondamental</w:t>
      </w:r>
      <w:r w:rsidR="00B45733" w:rsidRPr="0094667D">
        <w:rPr>
          <w:rFonts w:ascii="Calibri" w:hAnsi="Calibri" w:cs="Calibri"/>
          <w:sz w:val="22"/>
          <w:szCs w:val="22"/>
          <w:lang w:val="it-IT"/>
        </w:rPr>
        <w:t>i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e a lungo termine </w:t>
      </w:r>
      <w:r w:rsidR="00BE0E30" w:rsidRPr="0094667D">
        <w:rPr>
          <w:rFonts w:ascii="Calibri" w:hAnsi="Calibri" w:cs="Calibri"/>
          <w:sz w:val="22"/>
          <w:szCs w:val="22"/>
          <w:lang w:val="it-IT"/>
        </w:rPr>
        <w:t>si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concentr</w:t>
      </w:r>
      <w:r w:rsidR="00BE0E30" w:rsidRPr="0094667D">
        <w:rPr>
          <w:rFonts w:ascii="Calibri" w:hAnsi="Calibri" w:cs="Calibri"/>
          <w:sz w:val="22"/>
          <w:szCs w:val="22"/>
          <w:lang w:val="it-IT"/>
        </w:rPr>
        <w:t>a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sulla ricerca di buone aziende in cui crediamo, mantenendo una ment</w:t>
      </w:r>
      <w:r w:rsidR="0061187D" w:rsidRPr="0094667D">
        <w:rPr>
          <w:rFonts w:ascii="Calibri" w:hAnsi="Calibri" w:cs="Calibri"/>
          <w:sz w:val="22"/>
          <w:szCs w:val="22"/>
          <w:lang w:val="it-IT"/>
        </w:rPr>
        <w:t>alità</w:t>
      </w:r>
      <w:r w:rsidRPr="0094667D">
        <w:rPr>
          <w:rFonts w:ascii="Calibri" w:hAnsi="Calibri" w:cs="Calibri"/>
          <w:sz w:val="22"/>
          <w:szCs w:val="22"/>
          <w:lang w:val="it-IT"/>
        </w:rPr>
        <w:t xml:space="preserve"> aperta per calibrare le prospettive di crescita.</w:t>
      </w:r>
    </w:p>
    <w:sectPr w:rsidR="006E49B2" w:rsidRPr="00946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D"/>
    <w:rsid w:val="00083CDF"/>
    <w:rsid w:val="00102B52"/>
    <w:rsid w:val="001109F3"/>
    <w:rsid w:val="001F1E0E"/>
    <w:rsid w:val="00212737"/>
    <w:rsid w:val="002138B7"/>
    <w:rsid w:val="0061187D"/>
    <w:rsid w:val="006168AF"/>
    <w:rsid w:val="006B4E0B"/>
    <w:rsid w:val="006E49B2"/>
    <w:rsid w:val="007D615E"/>
    <w:rsid w:val="00873D8F"/>
    <w:rsid w:val="008A2F9A"/>
    <w:rsid w:val="008B4355"/>
    <w:rsid w:val="0094667D"/>
    <w:rsid w:val="009E1041"/>
    <w:rsid w:val="00AB682D"/>
    <w:rsid w:val="00B45733"/>
    <w:rsid w:val="00B50A0B"/>
    <w:rsid w:val="00B87768"/>
    <w:rsid w:val="00BB2658"/>
    <w:rsid w:val="00BC4C71"/>
    <w:rsid w:val="00BE0E30"/>
    <w:rsid w:val="00CC7BAC"/>
    <w:rsid w:val="00CF3A0C"/>
    <w:rsid w:val="00D4420D"/>
    <w:rsid w:val="00E47D67"/>
    <w:rsid w:val="00F44DDD"/>
    <w:rsid w:val="00FB23E2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62A8"/>
  <w15:chartTrackingRefBased/>
  <w15:docId w15:val="{1C4DAE5D-22DB-D54E-8A5D-F236BBC9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E34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3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34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ro-category">
    <w:name w:val="hero-category"/>
    <w:basedOn w:val="Carpredefinitoparagrafo"/>
    <w:rsid w:val="00FE3467"/>
  </w:style>
  <w:style w:type="paragraph" w:customStyle="1" w:styleId="hero-subtitle">
    <w:name w:val="hero-subtitle"/>
    <w:basedOn w:val="Normale"/>
    <w:rsid w:val="00FE346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346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eWeb">
    <w:name w:val="Normal (Web)"/>
    <w:basedOn w:val="Normale"/>
    <w:uiPriority w:val="99"/>
    <w:unhideWhenUsed/>
    <w:rsid w:val="00FE346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Revisione">
    <w:name w:val="Revision"/>
    <w:hidden/>
    <w:uiPriority w:val="99"/>
    <w:semiHidden/>
    <w:rsid w:val="00BB2658"/>
  </w:style>
  <w:style w:type="character" w:styleId="Rimandocommento">
    <w:name w:val="annotation reference"/>
    <w:basedOn w:val="Carpredefinitoparagrafo"/>
    <w:uiPriority w:val="99"/>
    <w:semiHidden/>
    <w:unhideWhenUsed/>
    <w:rsid w:val="006168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168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168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68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6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Diana Ferla</cp:lastModifiedBy>
  <cp:revision>20</cp:revision>
  <dcterms:created xsi:type="dcterms:W3CDTF">2023-03-20T16:15:00Z</dcterms:created>
  <dcterms:modified xsi:type="dcterms:W3CDTF">2023-03-29T08:18:00Z</dcterms:modified>
</cp:coreProperties>
</file>