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3F6F" w14:textId="6D75D314" w:rsidR="00196C49" w:rsidRPr="00A93B79" w:rsidRDefault="00D2308F" w:rsidP="00C97A67">
      <w:pPr>
        <w:rPr>
          <w:rFonts w:ascii="Calibri" w:hAnsi="Calibri" w:cs="Calibri"/>
          <w:b/>
          <w:bCs/>
          <w:lang w:val="it-IT"/>
        </w:rPr>
      </w:pPr>
      <w:r w:rsidRPr="00A93B79">
        <w:rPr>
          <w:rFonts w:ascii="Calibri" w:hAnsi="Calibri" w:cs="Calibri"/>
          <w:b/>
          <w:bCs/>
          <w:lang w:val="it-IT"/>
        </w:rPr>
        <w:t xml:space="preserve">T. Rowe Price </w:t>
      </w:r>
      <w:r w:rsidR="00CB04F8" w:rsidRPr="00A93B79">
        <w:rPr>
          <w:rFonts w:ascii="Calibri" w:hAnsi="Calibri" w:cs="Calibri"/>
          <w:b/>
          <w:bCs/>
          <w:lang w:val="it-IT"/>
        </w:rPr>
        <w:t>–</w:t>
      </w:r>
      <w:r w:rsidRPr="00A93B79">
        <w:rPr>
          <w:rFonts w:ascii="Calibri" w:hAnsi="Calibri" w:cs="Calibri"/>
          <w:b/>
          <w:bCs/>
          <w:lang w:val="it-IT"/>
        </w:rPr>
        <w:t xml:space="preserve"> </w:t>
      </w:r>
      <w:r w:rsidR="00CB04F8" w:rsidRPr="00AD2C47">
        <w:rPr>
          <w:rFonts w:ascii="Calibri" w:hAnsi="Calibri" w:cs="Calibri"/>
          <w:b/>
          <w:bCs/>
          <w:lang w:val="it-IT"/>
        </w:rPr>
        <w:t xml:space="preserve">A quando il prossimo shock? </w:t>
      </w:r>
    </w:p>
    <w:p w14:paraId="32917910" w14:textId="5C2F93F6" w:rsidR="00D2308F" w:rsidRPr="00A93B79" w:rsidRDefault="00D2308F" w:rsidP="00C97A67">
      <w:pPr>
        <w:rPr>
          <w:rFonts w:ascii="Calibri" w:hAnsi="Calibri" w:cs="Calibri"/>
          <w:b/>
          <w:bCs/>
        </w:rPr>
      </w:pPr>
      <w:r w:rsidRPr="00A93B79">
        <w:rPr>
          <w:rFonts w:ascii="Calibri" w:hAnsi="Calibri" w:cs="Calibri"/>
        </w:rPr>
        <w:t xml:space="preserve">A </w:t>
      </w:r>
      <w:proofErr w:type="spellStart"/>
      <w:r w:rsidRPr="00A93B79">
        <w:rPr>
          <w:rFonts w:ascii="Calibri" w:hAnsi="Calibri" w:cs="Calibri"/>
        </w:rPr>
        <w:t>cura</w:t>
      </w:r>
      <w:proofErr w:type="spellEnd"/>
      <w:r w:rsidRPr="00A93B79">
        <w:rPr>
          <w:rFonts w:ascii="Calibri" w:hAnsi="Calibri" w:cs="Calibri"/>
        </w:rPr>
        <w:t xml:space="preserve"> di</w:t>
      </w:r>
      <w:r w:rsidRPr="00A93B79">
        <w:rPr>
          <w:rFonts w:ascii="Calibri" w:hAnsi="Calibri" w:cs="Calibri"/>
          <w:b/>
          <w:bCs/>
        </w:rPr>
        <w:t xml:space="preserve"> Ritu </w:t>
      </w:r>
      <w:proofErr w:type="spellStart"/>
      <w:r w:rsidRPr="00A93B79">
        <w:rPr>
          <w:rFonts w:ascii="Calibri" w:hAnsi="Calibri" w:cs="Calibri"/>
          <w:b/>
          <w:bCs/>
        </w:rPr>
        <w:t>Vohora</w:t>
      </w:r>
      <w:proofErr w:type="spellEnd"/>
      <w:r w:rsidRPr="00A93B79">
        <w:rPr>
          <w:rFonts w:ascii="Calibri" w:hAnsi="Calibri" w:cs="Calibri"/>
          <w:b/>
          <w:bCs/>
        </w:rPr>
        <w:t xml:space="preserve">, Investment </w:t>
      </w:r>
      <w:r w:rsidR="00AD2C47" w:rsidRPr="00A93B79">
        <w:rPr>
          <w:rFonts w:ascii="Calibri" w:hAnsi="Calibri" w:cs="Calibri"/>
          <w:b/>
          <w:bCs/>
        </w:rPr>
        <w:t>S</w:t>
      </w:r>
      <w:r w:rsidRPr="00A93B79">
        <w:rPr>
          <w:rFonts w:ascii="Calibri" w:hAnsi="Calibri" w:cs="Calibri"/>
          <w:b/>
          <w:bCs/>
        </w:rPr>
        <w:t>pecialist, Capital markets, T. Rowe Price</w:t>
      </w:r>
    </w:p>
    <w:p w14:paraId="7745FCE6" w14:textId="036FD9DD" w:rsidR="00655C45" w:rsidRPr="00AD2C47" w:rsidRDefault="00655C45" w:rsidP="00655C45">
      <w:pPr>
        <w:rPr>
          <w:rFonts w:ascii="Calibri" w:hAnsi="Calibri" w:cs="Calibri"/>
          <w:lang w:val="it-IT"/>
        </w:rPr>
      </w:pPr>
      <w:r w:rsidRPr="00AD2C47">
        <w:rPr>
          <w:rFonts w:ascii="Calibri" w:hAnsi="Calibri" w:cs="Calibri"/>
          <w:lang w:val="it-IT"/>
        </w:rPr>
        <w:t xml:space="preserve">Storicamente, ogni volta che la Fed frena, qualcosa sfonda il parabrezza. Un’analogia triste, ma che si è rivelata vera. Se il 2022 è stato l’anno dell’inflazione che ha costretto le banche centrali globali a rialzare </w:t>
      </w:r>
      <w:r w:rsidR="00D34832" w:rsidRPr="00AD2C47">
        <w:rPr>
          <w:rFonts w:ascii="Calibri" w:hAnsi="Calibri" w:cs="Calibri"/>
          <w:lang w:val="it-IT"/>
        </w:rPr>
        <w:t>i tassi al ritmo</w:t>
      </w:r>
      <w:r w:rsidRPr="00AD2C47">
        <w:rPr>
          <w:rFonts w:ascii="Calibri" w:hAnsi="Calibri" w:cs="Calibri"/>
          <w:lang w:val="it-IT"/>
        </w:rPr>
        <w:t xml:space="preserve"> più veloce degli ultimi decenni, il 2023 è stato l’anno in cui ci aspettavamo di sentirne gli effetti economici. La recessione più telegrafata della storia sembrava inevitabile</w:t>
      </w:r>
      <w:r w:rsidR="00AD2C47">
        <w:rPr>
          <w:rFonts w:ascii="Calibri" w:hAnsi="Calibri" w:cs="Calibri"/>
          <w:lang w:val="it-IT"/>
        </w:rPr>
        <w:t>:</w:t>
      </w:r>
      <w:r w:rsidRPr="00AD2C47">
        <w:rPr>
          <w:rFonts w:ascii="Calibri" w:hAnsi="Calibri" w:cs="Calibri"/>
          <w:lang w:val="it-IT"/>
        </w:rPr>
        <w:t xml:space="preserve"> il problema era la tempistica. </w:t>
      </w:r>
    </w:p>
    <w:p w14:paraId="43C27729" w14:textId="0DE24DF1" w:rsidR="00655C45" w:rsidRPr="00AD2C47" w:rsidRDefault="00655C45" w:rsidP="00655C45">
      <w:pPr>
        <w:rPr>
          <w:rFonts w:ascii="Calibri" w:hAnsi="Calibri" w:cs="Calibri"/>
          <w:lang w:val="it-IT"/>
        </w:rPr>
      </w:pPr>
      <w:r w:rsidRPr="00A93B79">
        <w:rPr>
          <w:rFonts w:ascii="Calibri" w:hAnsi="Calibri" w:cs="Calibri"/>
          <w:b/>
          <w:bCs/>
          <w:lang w:val="it-IT"/>
        </w:rPr>
        <w:t>Riflettendo sul primo trimestre del 2023, è stato un viaggio sulle montagne russe, con la narrazione del mercato che ha oscillato tra le ipotesi rialziste e quelle ribassiste.</w:t>
      </w:r>
      <w:r w:rsidRPr="00AD2C47">
        <w:rPr>
          <w:rFonts w:ascii="Calibri" w:hAnsi="Calibri" w:cs="Calibri"/>
          <w:lang w:val="it-IT"/>
        </w:rPr>
        <w:t xml:space="preserve"> Nonostante le rotazioni da brivido, l’indice MSCI AC World e l’S&amp;P500 hanno chiuso il trimestre in rialzo rispettivamente del 7,4% e del 7,5%. A marzo il mercato dei Treasury statunitensi ha registrato il più forte rally della storia e la volatilità dei tassi è salita al livello più alto dalla crisi finanziaria globale (chi ha mai detto che i bond sono noiosi!) - con il rendimento a </w:t>
      </w:r>
      <w:r w:rsidR="00AD2C47">
        <w:rPr>
          <w:rFonts w:ascii="Calibri" w:hAnsi="Calibri" w:cs="Calibri"/>
          <w:lang w:val="it-IT"/>
        </w:rPr>
        <w:t>due</w:t>
      </w:r>
      <w:r w:rsidRPr="00AD2C47">
        <w:rPr>
          <w:rFonts w:ascii="Calibri" w:hAnsi="Calibri" w:cs="Calibri"/>
          <w:lang w:val="it-IT"/>
        </w:rPr>
        <w:t xml:space="preserve"> anni che ha chiuso il trimestre in calo di 40 punti base. </w:t>
      </w:r>
      <w:r w:rsidRPr="00A93B79">
        <w:rPr>
          <w:rFonts w:ascii="Calibri" w:hAnsi="Calibri" w:cs="Calibri"/>
          <w:b/>
          <w:bCs/>
          <w:lang w:val="it-IT"/>
        </w:rPr>
        <w:t>L’anno è iniziato all’insegna dell’ottimismo</w:t>
      </w:r>
      <w:r w:rsidRPr="00AD2C47">
        <w:rPr>
          <w:rFonts w:ascii="Calibri" w:hAnsi="Calibri" w:cs="Calibri"/>
          <w:lang w:val="it-IT"/>
        </w:rPr>
        <w:t>: la Cina ha riaperto i battenti e l’inverno mite in Europa ha portato a una ripresa dell’attività. Ciò ha alimentato le speranze di uno scenario di</w:t>
      </w:r>
      <w:r w:rsidR="00AD2C47">
        <w:rPr>
          <w:rFonts w:ascii="Calibri" w:hAnsi="Calibri" w:cs="Calibri"/>
          <w:lang w:val="it-IT"/>
        </w:rPr>
        <w:t xml:space="preserve"> un</w:t>
      </w:r>
      <w:r w:rsidRPr="00AD2C47">
        <w:rPr>
          <w:rFonts w:ascii="Calibri" w:hAnsi="Calibri" w:cs="Calibri"/>
          <w:lang w:val="it-IT"/>
        </w:rPr>
        <w:t xml:space="preserve"> “non atterraggio”, tra dati economici solidi e una tendenza alla disinflazione in ripresa. I mercati hanno iniziato a prezzare un taglio dei tassi e </w:t>
      </w:r>
      <w:r w:rsidR="00AD2C47">
        <w:rPr>
          <w:rFonts w:ascii="Calibri" w:hAnsi="Calibri" w:cs="Calibri"/>
          <w:lang w:val="it-IT"/>
        </w:rPr>
        <w:t>l’azionario</w:t>
      </w:r>
      <w:r w:rsidRPr="00AD2C47">
        <w:rPr>
          <w:rFonts w:ascii="Calibri" w:hAnsi="Calibri" w:cs="Calibri"/>
          <w:lang w:val="it-IT"/>
        </w:rPr>
        <w:t xml:space="preserve"> ha registrato un’impennata di euforia. Sembrava prematuro, e in effetti si è rivelato tale, dato che i dati CPI di febbraio, molto positivi, e i dati sul mercato del lavoro, molto solidi, hanno messo alla prova la narrativa rialzista. I mercati hanno iniziato a rivalutare le aspettative di rialzo dei tassi della Fed – un ulteriore inasprimento e un tasso finale più elevato – poiché l’inflazione “</w:t>
      </w:r>
      <w:r w:rsidR="00AD2C47">
        <w:rPr>
          <w:rFonts w:ascii="Calibri" w:hAnsi="Calibri" w:cs="Calibri"/>
          <w:lang w:val="it-IT"/>
        </w:rPr>
        <w:t>vischiosa</w:t>
      </w:r>
      <w:r w:rsidRPr="00AD2C47">
        <w:rPr>
          <w:rFonts w:ascii="Calibri" w:hAnsi="Calibri" w:cs="Calibri"/>
          <w:lang w:val="it-IT"/>
        </w:rPr>
        <w:t xml:space="preserve">” rischiava di radicarsi. </w:t>
      </w:r>
    </w:p>
    <w:p w14:paraId="59815688" w14:textId="67D2E0B3" w:rsidR="00655C45" w:rsidRPr="00AD2C47" w:rsidRDefault="00655C45" w:rsidP="00655C45">
      <w:pPr>
        <w:rPr>
          <w:rFonts w:ascii="Calibri" w:hAnsi="Calibri" w:cs="Calibri"/>
          <w:lang w:val="it-IT"/>
        </w:rPr>
      </w:pPr>
      <w:r w:rsidRPr="00164EF3">
        <w:rPr>
          <w:rFonts w:ascii="Calibri" w:hAnsi="Calibri" w:cs="Calibri"/>
          <w:lang w:val="it-IT"/>
        </w:rPr>
        <w:t>Una settimana è un periodo lungo nei mercati finanziari</w:t>
      </w:r>
      <w:r w:rsidRPr="00AD2C47">
        <w:rPr>
          <w:rFonts w:ascii="Calibri" w:hAnsi="Calibri" w:cs="Calibri"/>
          <w:lang w:val="it-IT"/>
        </w:rPr>
        <w:t xml:space="preserve">. Come diceva Lenin, “ci sono decenni in cui non succede nulla e settimane in cui succedono decenni”. </w:t>
      </w:r>
      <w:r w:rsidRPr="00A93B79">
        <w:rPr>
          <w:rFonts w:ascii="Calibri" w:hAnsi="Calibri" w:cs="Calibri"/>
          <w:b/>
          <w:bCs/>
          <w:lang w:val="it-IT"/>
        </w:rPr>
        <w:t>Eravamo in attesa che qualcosa si rompesse e il ritmo serrato dei rialzi dei tassi ha finalmente messo a nudo gli anelli deboli dell’economia. Il fallimento d</w:t>
      </w:r>
      <w:r w:rsidR="00AD2C47" w:rsidRPr="00A93B79">
        <w:rPr>
          <w:rFonts w:ascii="Calibri" w:hAnsi="Calibri" w:cs="Calibri"/>
          <w:b/>
          <w:bCs/>
          <w:lang w:val="it-IT"/>
        </w:rPr>
        <w:t>i</w:t>
      </w:r>
      <w:r w:rsidRPr="00A93B79">
        <w:rPr>
          <w:rFonts w:ascii="Calibri" w:hAnsi="Calibri" w:cs="Calibri"/>
          <w:b/>
          <w:bCs/>
          <w:lang w:val="it-IT"/>
        </w:rPr>
        <w:t xml:space="preserve"> Silicon Valley Bank e l</w:t>
      </w:r>
      <w:r w:rsidR="00AD2C47" w:rsidRPr="00A93B79">
        <w:rPr>
          <w:rFonts w:ascii="Calibri" w:hAnsi="Calibri" w:cs="Calibri"/>
          <w:b/>
          <w:bCs/>
          <w:lang w:val="it-IT"/>
        </w:rPr>
        <w:t xml:space="preserve">a fusione </w:t>
      </w:r>
      <w:r w:rsidRPr="00A93B79">
        <w:rPr>
          <w:rFonts w:ascii="Calibri" w:hAnsi="Calibri" w:cs="Calibri"/>
          <w:b/>
          <w:bCs/>
          <w:lang w:val="it-IT"/>
        </w:rPr>
        <w:t>tra UBS e Credit Suisse hanno provocato onde d’urto che si sono ripercosse sull’economia globale nel mese di marzo</w:t>
      </w:r>
      <w:r w:rsidRPr="00AD2C47">
        <w:rPr>
          <w:rFonts w:ascii="Calibri" w:hAnsi="Calibri" w:cs="Calibri"/>
          <w:lang w:val="it-IT"/>
        </w:rPr>
        <w:t xml:space="preserve">. In soli dieci giorni </w:t>
      </w:r>
      <w:r w:rsidR="00AD2C47">
        <w:rPr>
          <w:rFonts w:ascii="Calibri" w:hAnsi="Calibri" w:cs="Calibri"/>
          <w:lang w:val="it-IT"/>
        </w:rPr>
        <w:t>l</w:t>
      </w:r>
      <w:r w:rsidRPr="00AD2C47">
        <w:rPr>
          <w:rFonts w:ascii="Calibri" w:hAnsi="Calibri" w:cs="Calibri"/>
          <w:lang w:val="it-IT"/>
        </w:rPr>
        <w:t>e aspettative sui tassi sono cambiat</w:t>
      </w:r>
      <w:r w:rsidR="00AD2C47">
        <w:rPr>
          <w:rFonts w:ascii="Calibri" w:hAnsi="Calibri" w:cs="Calibri"/>
          <w:lang w:val="it-IT"/>
        </w:rPr>
        <w:t>e</w:t>
      </w:r>
      <w:r w:rsidRPr="00AD2C47">
        <w:rPr>
          <w:rFonts w:ascii="Calibri" w:hAnsi="Calibri" w:cs="Calibri"/>
          <w:lang w:val="it-IT"/>
        </w:rPr>
        <w:t xml:space="preserve"> drasticamente</w:t>
      </w:r>
      <w:r w:rsidR="00D34832" w:rsidRPr="00AD2C47">
        <w:rPr>
          <w:rFonts w:ascii="Calibri" w:hAnsi="Calibri" w:cs="Calibri"/>
          <w:lang w:val="it-IT"/>
        </w:rPr>
        <w:t xml:space="preserve">. </w:t>
      </w:r>
      <w:r w:rsidRPr="00AD2C47">
        <w:rPr>
          <w:rFonts w:ascii="Calibri" w:hAnsi="Calibri" w:cs="Calibri"/>
          <w:lang w:val="it-IT"/>
        </w:rPr>
        <w:t xml:space="preserve">Una settimana storica </w:t>
      </w:r>
      <w:r w:rsidR="00D34832" w:rsidRPr="00AD2C47">
        <w:rPr>
          <w:rFonts w:ascii="Calibri" w:hAnsi="Calibri" w:cs="Calibri"/>
          <w:lang w:val="it-IT"/>
        </w:rPr>
        <w:t>per il</w:t>
      </w:r>
      <w:r w:rsidRPr="00AD2C47">
        <w:rPr>
          <w:rFonts w:ascii="Calibri" w:hAnsi="Calibri" w:cs="Calibri"/>
          <w:lang w:val="it-IT"/>
        </w:rPr>
        <w:t xml:space="preserve"> Regno Unito, con il “mini budget” che ha scosso i mercati obbligazionari e valutari e ha messo in crisi le strategie LDI. </w:t>
      </w:r>
      <w:r w:rsidRPr="00A93B79">
        <w:rPr>
          <w:rFonts w:ascii="Calibri" w:hAnsi="Calibri" w:cs="Calibri"/>
          <w:b/>
          <w:bCs/>
          <w:lang w:val="it-IT"/>
        </w:rPr>
        <w:t xml:space="preserve">Forse è stata la prima scossa di una serie di shock futuri. </w:t>
      </w:r>
      <w:r w:rsidRPr="00AD2C47">
        <w:rPr>
          <w:rFonts w:ascii="Calibri" w:hAnsi="Calibri" w:cs="Calibri"/>
          <w:lang w:val="it-IT"/>
        </w:rPr>
        <w:t>Sebbene le banche centrali abbiano stabilizzato le turbolenze bancarie, agendo rapidamente e sfruttando gli strumenti a loro disposizione dopo la crisi finanziaria, dal back-</w:t>
      </w:r>
      <w:proofErr w:type="spellStart"/>
      <w:r w:rsidRPr="00AD2C47">
        <w:rPr>
          <w:rFonts w:ascii="Calibri" w:hAnsi="Calibri" w:cs="Calibri"/>
          <w:lang w:val="it-IT"/>
        </w:rPr>
        <w:t>stopping</w:t>
      </w:r>
      <w:proofErr w:type="spellEnd"/>
      <w:r w:rsidRPr="00AD2C47">
        <w:rPr>
          <w:rFonts w:ascii="Calibri" w:hAnsi="Calibri" w:cs="Calibri"/>
          <w:lang w:val="it-IT"/>
        </w:rPr>
        <w:t xml:space="preserve"> dei depositi alla fornitura di finanziamenti di emergenza, </w:t>
      </w:r>
      <w:r w:rsidRPr="00164EF3">
        <w:rPr>
          <w:rFonts w:ascii="Calibri" w:hAnsi="Calibri" w:cs="Calibri"/>
          <w:lang w:val="it-IT"/>
        </w:rPr>
        <w:t>non siamo ancora fuori dai guai</w:t>
      </w:r>
      <w:r w:rsidRPr="00AD2C47">
        <w:rPr>
          <w:rFonts w:ascii="Calibri" w:hAnsi="Calibri" w:cs="Calibri"/>
          <w:lang w:val="it-IT"/>
        </w:rPr>
        <w:t xml:space="preserve">. </w:t>
      </w:r>
      <w:r w:rsidRPr="00A93B79">
        <w:rPr>
          <w:rFonts w:ascii="Calibri" w:hAnsi="Calibri" w:cs="Calibri"/>
          <w:b/>
          <w:bCs/>
          <w:lang w:val="it-IT"/>
        </w:rPr>
        <w:t>Non sappiamo quale sarà l'impatto delle turbolenze sull’economia reale</w:t>
      </w:r>
      <w:r w:rsidRPr="00AD2C47">
        <w:rPr>
          <w:rFonts w:ascii="Calibri" w:hAnsi="Calibri" w:cs="Calibri"/>
          <w:lang w:val="it-IT"/>
        </w:rPr>
        <w:t>. Probabilmente ci troveremo in un limbo economico finché gli effetti non cominceranno a manifestarsi nei dati ufficiali, che di solito hanno un ritardo significativo di qualche trimestre.</w:t>
      </w:r>
    </w:p>
    <w:p w14:paraId="51E18010" w14:textId="2003340E" w:rsidR="00655C45" w:rsidRPr="00AD2C47" w:rsidRDefault="00655C45" w:rsidP="00655C45">
      <w:pPr>
        <w:rPr>
          <w:rFonts w:ascii="Calibri" w:hAnsi="Calibri" w:cs="Calibri"/>
          <w:lang w:val="it-IT"/>
        </w:rPr>
      </w:pPr>
      <w:r w:rsidRPr="00A93B79">
        <w:rPr>
          <w:rFonts w:ascii="Calibri" w:hAnsi="Calibri" w:cs="Calibri"/>
          <w:b/>
          <w:bCs/>
          <w:lang w:val="it-IT"/>
        </w:rPr>
        <w:t>Non siamo nel 2008</w:t>
      </w:r>
      <w:r w:rsidR="00D34832" w:rsidRPr="00A93B79">
        <w:rPr>
          <w:rFonts w:ascii="Calibri" w:hAnsi="Calibri" w:cs="Calibri"/>
          <w:b/>
          <w:bCs/>
          <w:lang w:val="it-IT"/>
        </w:rPr>
        <w:t xml:space="preserve">: </w:t>
      </w:r>
      <w:r w:rsidRPr="00A93B79">
        <w:rPr>
          <w:rFonts w:ascii="Calibri" w:hAnsi="Calibri" w:cs="Calibri"/>
          <w:b/>
          <w:bCs/>
          <w:lang w:val="it-IT"/>
        </w:rPr>
        <w:t>le banche sono meglio regolamentate e capitalizzate</w:t>
      </w:r>
      <w:r w:rsidRPr="00AD2C47">
        <w:rPr>
          <w:rFonts w:ascii="Calibri" w:hAnsi="Calibri" w:cs="Calibri"/>
          <w:lang w:val="it-IT"/>
        </w:rPr>
        <w:t xml:space="preserve">. </w:t>
      </w:r>
      <w:r w:rsidRPr="00A93B79">
        <w:rPr>
          <w:rFonts w:ascii="Calibri" w:hAnsi="Calibri" w:cs="Calibri"/>
          <w:b/>
          <w:bCs/>
          <w:lang w:val="it-IT"/>
        </w:rPr>
        <w:t>Tuttavia, è probabile che lo stress del settore bancario costringa le banche a ridurre l’assunzione di rischi per salvaguardare i bilanci</w:t>
      </w:r>
      <w:r w:rsidRPr="00AD2C47">
        <w:rPr>
          <w:rFonts w:ascii="Calibri" w:hAnsi="Calibri" w:cs="Calibri"/>
          <w:lang w:val="it-IT"/>
        </w:rPr>
        <w:t xml:space="preserve">. Si parla molto di una maggiore regolamentazione, di requisiti patrimoniali e di liquidità più elevati e di un aumento dei costi di finanziamento. </w:t>
      </w:r>
      <w:r w:rsidRPr="00A93B79">
        <w:rPr>
          <w:rFonts w:ascii="Calibri" w:hAnsi="Calibri" w:cs="Calibri"/>
          <w:b/>
          <w:bCs/>
          <w:lang w:val="it-IT"/>
        </w:rPr>
        <w:t>Le banche sono un canale fondamentale per l’economia in generale e l’inasprimento degli standard di prestito si tradurrà in condizioni più rigide, come l’aumento dei costi di finanziamento per le aziende, aumentando ulteriormente la pressione sugli utili.</w:t>
      </w:r>
      <w:r w:rsidRPr="00AD2C47">
        <w:rPr>
          <w:rFonts w:ascii="Calibri" w:hAnsi="Calibri" w:cs="Calibri"/>
          <w:lang w:val="it-IT"/>
        </w:rPr>
        <w:t xml:space="preserve"> Le ricerche suggeriscono che l’inasprimento del credito può essere un freno alla crescita nel tempo e le prospettive sono peggiorate. </w:t>
      </w:r>
    </w:p>
    <w:p w14:paraId="46604BB9" w14:textId="3F94A499" w:rsidR="00B22946" w:rsidRPr="00AD2C47" w:rsidRDefault="00B22946" w:rsidP="00B22946">
      <w:pPr>
        <w:rPr>
          <w:rFonts w:ascii="Calibri" w:hAnsi="Calibri" w:cs="Calibri"/>
          <w:lang w:val="it-IT"/>
        </w:rPr>
      </w:pPr>
      <w:r w:rsidRPr="00AD2C47">
        <w:rPr>
          <w:rFonts w:ascii="Calibri" w:hAnsi="Calibri" w:cs="Calibri"/>
          <w:lang w:val="it-IT"/>
        </w:rPr>
        <w:t xml:space="preserve">La liquidità si è drasticamente ridotta a causa della riduzione dei bilanci delle banche centrali e dell’inasprimento delle politiche. Anche se il QE ha svolto il suo compito di ridurre la volatilità e i rendimenti a lungo termine, è probabile che ora ci troviamo in un regime di condizioni più restrittive, il che significa che </w:t>
      </w:r>
      <w:r w:rsidRPr="00A93B79">
        <w:rPr>
          <w:rFonts w:ascii="Calibri" w:hAnsi="Calibri" w:cs="Calibri"/>
          <w:b/>
          <w:bCs/>
          <w:lang w:val="it-IT"/>
        </w:rPr>
        <w:t>dobbiamo aspettarci una volatilità più elevata rispetto a quella sperimentata nell’ultimo decennio.</w:t>
      </w:r>
      <w:r w:rsidRPr="00AD2C47">
        <w:rPr>
          <w:rFonts w:ascii="Calibri" w:hAnsi="Calibri" w:cs="Calibri"/>
          <w:lang w:val="it-IT"/>
        </w:rPr>
        <w:t xml:space="preserve"> </w:t>
      </w:r>
      <w:r w:rsidRPr="00A93B79">
        <w:rPr>
          <w:rFonts w:ascii="Calibri" w:hAnsi="Calibri" w:cs="Calibri"/>
          <w:b/>
          <w:bCs/>
          <w:lang w:val="it-IT"/>
        </w:rPr>
        <w:t xml:space="preserve">La Fed sta </w:t>
      </w:r>
      <w:r w:rsidRPr="00A93B79">
        <w:rPr>
          <w:rFonts w:ascii="Calibri" w:hAnsi="Calibri" w:cs="Calibri"/>
          <w:b/>
          <w:bCs/>
          <w:lang w:val="it-IT"/>
        </w:rPr>
        <w:lastRenderedPageBreak/>
        <w:t>camminando su una corda tesa tra rischi persistenti di inflazione e stabilità finanziaria.</w:t>
      </w:r>
      <w:r w:rsidRPr="00AD2C47">
        <w:rPr>
          <w:rFonts w:ascii="Calibri" w:hAnsi="Calibri" w:cs="Calibri"/>
          <w:lang w:val="it-IT"/>
        </w:rPr>
        <w:t xml:space="preserve"> </w:t>
      </w:r>
      <w:r w:rsidRPr="00A93B79">
        <w:rPr>
          <w:rFonts w:ascii="Calibri" w:hAnsi="Calibri" w:cs="Calibri"/>
          <w:b/>
          <w:bCs/>
          <w:lang w:val="it-IT"/>
        </w:rPr>
        <w:t>Ha il piede sia sul freno (rialzo dei tassi) sia sull’acceleratore (immissione di liquidità).</w:t>
      </w:r>
      <w:r w:rsidRPr="00AD2C47">
        <w:rPr>
          <w:rFonts w:ascii="Calibri" w:hAnsi="Calibri" w:cs="Calibri"/>
          <w:lang w:val="it-IT"/>
        </w:rPr>
        <w:t xml:space="preserve"> Sebbene il recente inasprimento delle condizioni di credito abbia svolto una parte del lavoro, i mercati prevedono tagli nella seconda metà dell’anno. La storia mette in guardia da un allentamento troppo precoce. La stretta delle condizioni di credito ha probabilmente accelerato una recessione e le banche centrali forse vogliono le armi giuste per agire in un periodo di rallentamento. </w:t>
      </w:r>
      <w:r w:rsidRPr="00164EF3">
        <w:rPr>
          <w:rFonts w:ascii="Calibri" w:hAnsi="Calibri" w:cs="Calibri"/>
          <w:lang w:val="it-IT"/>
        </w:rPr>
        <w:t>Mentre Fed, B</w:t>
      </w:r>
      <w:r w:rsidR="00AD2C47" w:rsidRPr="00164EF3">
        <w:rPr>
          <w:rFonts w:ascii="Calibri" w:hAnsi="Calibri" w:cs="Calibri"/>
          <w:lang w:val="it-IT"/>
        </w:rPr>
        <w:t>ce</w:t>
      </w:r>
      <w:r w:rsidRPr="00164EF3">
        <w:rPr>
          <w:rFonts w:ascii="Calibri" w:hAnsi="Calibri" w:cs="Calibri"/>
          <w:lang w:val="it-IT"/>
        </w:rPr>
        <w:t xml:space="preserve"> e </w:t>
      </w:r>
      <w:proofErr w:type="spellStart"/>
      <w:r w:rsidRPr="00164EF3">
        <w:rPr>
          <w:rFonts w:ascii="Calibri" w:hAnsi="Calibri" w:cs="Calibri"/>
          <w:lang w:val="it-IT"/>
        </w:rPr>
        <w:t>B</w:t>
      </w:r>
      <w:r w:rsidR="00AD2C47" w:rsidRPr="00164EF3">
        <w:rPr>
          <w:rFonts w:ascii="Calibri" w:hAnsi="Calibri" w:cs="Calibri"/>
          <w:lang w:val="it-IT"/>
        </w:rPr>
        <w:t>o</w:t>
      </w:r>
      <w:r w:rsidRPr="00164EF3">
        <w:rPr>
          <w:rFonts w:ascii="Calibri" w:hAnsi="Calibri" w:cs="Calibri"/>
          <w:lang w:val="it-IT"/>
        </w:rPr>
        <w:t>E</w:t>
      </w:r>
      <w:proofErr w:type="spellEnd"/>
      <w:r w:rsidRPr="00164EF3">
        <w:rPr>
          <w:rFonts w:ascii="Calibri" w:hAnsi="Calibri" w:cs="Calibri"/>
          <w:lang w:val="it-IT"/>
        </w:rPr>
        <w:t xml:space="preserve"> hanno aumentato i tassi a marzo per dimostrare il loro impegno a favore della stabilità dei prezzi, potrebbero fare una pausa e continuare a concentrarsi sulla dipendenza dai dati. </w:t>
      </w:r>
      <w:r w:rsidRPr="00A93B79">
        <w:rPr>
          <w:rFonts w:ascii="Calibri" w:hAnsi="Calibri" w:cs="Calibri"/>
          <w:b/>
          <w:bCs/>
          <w:lang w:val="it-IT"/>
        </w:rPr>
        <w:t xml:space="preserve">L’inflazione non è magicamente scomparsa. I tassi saranno probabilmente “più alti più a lungo”, anche se con un picco più basso. </w:t>
      </w:r>
    </w:p>
    <w:p w14:paraId="7745CCF3" w14:textId="447B549A" w:rsidR="00B22946" w:rsidRPr="00AD2C47" w:rsidRDefault="00B22946" w:rsidP="00B22946">
      <w:pPr>
        <w:rPr>
          <w:rFonts w:ascii="Calibri" w:hAnsi="Calibri" w:cs="Calibri"/>
          <w:lang w:val="it-IT"/>
        </w:rPr>
      </w:pPr>
      <w:r w:rsidRPr="00A93B79">
        <w:rPr>
          <w:rFonts w:ascii="Calibri" w:hAnsi="Calibri" w:cs="Calibri"/>
          <w:b/>
          <w:bCs/>
          <w:lang w:val="it-IT"/>
        </w:rPr>
        <w:t>Sebbene i mercati azionari siano partiti alla grande, con il rischio di stabilità finanziaria apparentemente scongiurato, non è il momento di essere compiacenti</w:t>
      </w:r>
      <w:r w:rsidRPr="00AD2C47">
        <w:rPr>
          <w:rFonts w:ascii="Calibri" w:hAnsi="Calibri" w:cs="Calibri"/>
          <w:lang w:val="it-IT"/>
        </w:rPr>
        <w:t xml:space="preserve">. </w:t>
      </w:r>
      <w:r w:rsidRPr="00164EF3">
        <w:rPr>
          <w:rFonts w:ascii="Calibri" w:hAnsi="Calibri" w:cs="Calibri"/>
          <w:lang w:val="it-IT"/>
        </w:rPr>
        <w:t>I mercati ribassisti si presentano in genere in tre fasi</w:t>
      </w:r>
      <w:r w:rsidRPr="00AD2C47">
        <w:rPr>
          <w:rFonts w:ascii="Calibri" w:hAnsi="Calibri" w:cs="Calibri"/>
          <w:lang w:val="it-IT"/>
        </w:rPr>
        <w:t xml:space="preserve">: in primo luogo, uno shock dei tassi (i mercati si sono ampiamente </w:t>
      </w:r>
      <w:proofErr w:type="spellStart"/>
      <w:r w:rsidRPr="00AD2C47">
        <w:rPr>
          <w:rFonts w:ascii="Calibri" w:hAnsi="Calibri" w:cs="Calibri"/>
          <w:lang w:val="it-IT"/>
        </w:rPr>
        <w:t>riprezzati</w:t>
      </w:r>
      <w:proofErr w:type="spellEnd"/>
      <w:r w:rsidRPr="00AD2C47">
        <w:rPr>
          <w:rFonts w:ascii="Calibri" w:hAnsi="Calibri" w:cs="Calibri"/>
          <w:lang w:val="it-IT"/>
        </w:rPr>
        <w:t xml:space="preserve"> su questo punto), in secondo luogo uno shock degli utili o della crescita (lo abbiamo anticipato e, sebbene gli utili siano stati troppo ottimistici, stanno iniziando a contrarsi) e infine uno shock della liquidità (non abbiamo ancora avuto una capitolazione). Con l’S&amp;P500 scambiato a 18x su una base di price-earnings, le azioni non sono a buon mercato e probabilmente valutano troppo poco il rischio di recessione. Anche il premio per il rischio azionario si è ridotto, il che rende il quadro del rapporto rischio/rendimento meno interessante. Tuttavia, </w:t>
      </w:r>
      <w:r w:rsidRPr="00A93B79">
        <w:rPr>
          <w:rFonts w:ascii="Calibri" w:hAnsi="Calibri" w:cs="Calibri"/>
          <w:b/>
          <w:bCs/>
          <w:lang w:val="it-IT"/>
        </w:rPr>
        <w:t>al di fuori degli Stati Uniti, i mercati emergenti e il Giappone offrono ammortizzatori di valutazione più ragionevoli</w:t>
      </w:r>
      <w:r w:rsidRPr="00AD2C47">
        <w:rPr>
          <w:rFonts w:ascii="Calibri" w:hAnsi="Calibri" w:cs="Calibri"/>
          <w:lang w:val="it-IT"/>
        </w:rPr>
        <w:t xml:space="preserve">. </w:t>
      </w:r>
      <w:r w:rsidRPr="00A93B79">
        <w:rPr>
          <w:rFonts w:ascii="Calibri" w:hAnsi="Calibri" w:cs="Calibri"/>
          <w:b/>
          <w:bCs/>
          <w:lang w:val="it-IT"/>
        </w:rPr>
        <w:t xml:space="preserve">I mercati obbligazionari hanno una </w:t>
      </w:r>
      <w:proofErr w:type="spellStart"/>
      <w:r w:rsidR="00AD2C47">
        <w:rPr>
          <w:rFonts w:ascii="Calibri" w:hAnsi="Calibri" w:cs="Calibri"/>
          <w:b/>
          <w:bCs/>
          <w:lang w:val="it-IT"/>
        </w:rPr>
        <w:t>view</w:t>
      </w:r>
      <w:proofErr w:type="spellEnd"/>
      <w:r w:rsidR="00AD2C47" w:rsidRPr="00A93B79">
        <w:rPr>
          <w:rFonts w:ascii="Calibri" w:hAnsi="Calibri" w:cs="Calibri"/>
          <w:b/>
          <w:bCs/>
          <w:lang w:val="it-IT"/>
        </w:rPr>
        <w:t xml:space="preserve"> </w:t>
      </w:r>
      <w:r w:rsidRPr="00A93B79">
        <w:rPr>
          <w:rFonts w:ascii="Calibri" w:hAnsi="Calibri" w:cs="Calibri"/>
          <w:b/>
          <w:bCs/>
          <w:lang w:val="it-IT"/>
        </w:rPr>
        <w:t>più ribassista e la curva dei rendimenti continua a essere invertita (differenza tra i rendimenti dei Treasury a due e dieci anni). Storicamente, questo è stato un segnale minaccioso e ha preceduto ogni recessione.</w:t>
      </w:r>
      <w:r w:rsidRPr="00AD2C47">
        <w:rPr>
          <w:rFonts w:ascii="Calibri" w:hAnsi="Calibri" w:cs="Calibri"/>
          <w:lang w:val="it-IT"/>
        </w:rPr>
        <w:t xml:space="preserve"> Sebbene i rendimenti siano lontani dai massimi, le obbligazioni rappresentano ancora un’opportunità interessante per ottenere reddito e diversificare in caso di rallentamento.  </w:t>
      </w:r>
    </w:p>
    <w:p w14:paraId="02A2063B" w14:textId="4A697BAD" w:rsidR="00852E4E" w:rsidRPr="00AD2C47" w:rsidRDefault="00B22946" w:rsidP="00B22946">
      <w:pPr>
        <w:rPr>
          <w:rFonts w:ascii="Calibri" w:hAnsi="Calibri" w:cs="Calibri"/>
          <w:lang w:val="it-IT"/>
        </w:rPr>
      </w:pPr>
      <w:r w:rsidRPr="00AD2C47">
        <w:rPr>
          <w:rFonts w:ascii="Calibri" w:hAnsi="Calibri" w:cs="Calibri"/>
          <w:lang w:val="it-IT"/>
        </w:rPr>
        <w:t xml:space="preserve">Il 2022 è un anno che molti vorrebbero dimenticare, in cui sia le obbligazioni sia le azioni sono scese insieme. Sebbene la correlazione sia instabile nel tempo, </w:t>
      </w:r>
      <w:r w:rsidRPr="00A93B79">
        <w:rPr>
          <w:rFonts w:ascii="Calibri" w:hAnsi="Calibri" w:cs="Calibri"/>
          <w:b/>
          <w:bCs/>
          <w:lang w:val="it-IT"/>
        </w:rPr>
        <w:t>è probabile che persistano episodi di volatilità e illiquidità</w:t>
      </w:r>
      <w:r w:rsidRPr="00AD2C47">
        <w:rPr>
          <w:rFonts w:ascii="Calibri" w:hAnsi="Calibri" w:cs="Calibri"/>
          <w:lang w:val="it-IT"/>
        </w:rPr>
        <w:t xml:space="preserve">. </w:t>
      </w:r>
      <w:r w:rsidRPr="00A93B79">
        <w:rPr>
          <w:rFonts w:ascii="Calibri" w:hAnsi="Calibri" w:cs="Calibri"/>
          <w:b/>
          <w:bCs/>
          <w:lang w:val="it-IT"/>
        </w:rPr>
        <w:t>La diversificazione, l’attenzione alla qualità e ai fondamentali saranno importanti per navigare nelle oscillazioni del mercato e sfruttare le dislocazioni</w:t>
      </w:r>
      <w:r w:rsidRPr="00AD2C47">
        <w:rPr>
          <w:rFonts w:ascii="Calibri" w:hAnsi="Calibri" w:cs="Calibri"/>
          <w:lang w:val="it-IT"/>
        </w:rPr>
        <w:t xml:space="preserve">. La gestione del rischio di ribasso, evitando </w:t>
      </w:r>
      <w:r w:rsidR="00164EF3">
        <w:rPr>
          <w:rFonts w:ascii="Calibri" w:hAnsi="Calibri" w:cs="Calibri"/>
          <w:lang w:val="it-IT"/>
        </w:rPr>
        <w:t>gli sconfitti</w:t>
      </w:r>
      <w:r w:rsidRPr="00AD2C47">
        <w:rPr>
          <w:rFonts w:ascii="Calibri" w:hAnsi="Calibri" w:cs="Calibri"/>
          <w:lang w:val="it-IT"/>
        </w:rPr>
        <w:t>, sarà importante quanto il sostegno ai vincitori.</w:t>
      </w:r>
    </w:p>
    <w:sectPr w:rsidR="00852E4E" w:rsidRPr="00AD2C47" w:rsidSect="00A93B7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100D" w14:textId="77777777" w:rsidR="00490D30" w:rsidRDefault="00490D30" w:rsidP="00141CB6">
      <w:pPr>
        <w:spacing w:after="0" w:line="240" w:lineRule="auto"/>
      </w:pPr>
      <w:r>
        <w:separator/>
      </w:r>
    </w:p>
  </w:endnote>
  <w:endnote w:type="continuationSeparator" w:id="0">
    <w:p w14:paraId="0D92B9EF" w14:textId="77777777" w:rsidR="00490D30" w:rsidRDefault="00490D30" w:rsidP="0014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6390" w14:textId="77777777" w:rsidR="00490D30" w:rsidRDefault="00490D30" w:rsidP="00141CB6">
      <w:pPr>
        <w:spacing w:after="0" w:line="240" w:lineRule="auto"/>
      </w:pPr>
      <w:r>
        <w:separator/>
      </w:r>
    </w:p>
  </w:footnote>
  <w:footnote w:type="continuationSeparator" w:id="0">
    <w:p w14:paraId="4070EAC3" w14:textId="77777777" w:rsidR="00490D30" w:rsidRDefault="00490D30" w:rsidP="0014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ABF"/>
    <w:multiLevelType w:val="hybridMultilevel"/>
    <w:tmpl w:val="6EB0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141CB6"/>
    <w:rsid w:val="000108D6"/>
    <w:rsid w:val="00017605"/>
    <w:rsid w:val="00030281"/>
    <w:rsid w:val="000332B5"/>
    <w:rsid w:val="00035544"/>
    <w:rsid w:val="00037FAB"/>
    <w:rsid w:val="00041763"/>
    <w:rsid w:val="000424E1"/>
    <w:rsid w:val="0004457D"/>
    <w:rsid w:val="00070E0C"/>
    <w:rsid w:val="00073680"/>
    <w:rsid w:val="000778D5"/>
    <w:rsid w:val="00094D9A"/>
    <w:rsid w:val="00094E17"/>
    <w:rsid w:val="00095948"/>
    <w:rsid w:val="00096CBA"/>
    <w:rsid w:val="000A4BDC"/>
    <w:rsid w:val="00101E35"/>
    <w:rsid w:val="001413F0"/>
    <w:rsid w:val="00141CB6"/>
    <w:rsid w:val="00143266"/>
    <w:rsid w:val="001631F7"/>
    <w:rsid w:val="00164EF3"/>
    <w:rsid w:val="00172190"/>
    <w:rsid w:val="00180F26"/>
    <w:rsid w:val="001851BB"/>
    <w:rsid w:val="00196C49"/>
    <w:rsid w:val="001D157F"/>
    <w:rsid w:val="001E567B"/>
    <w:rsid w:val="001E6C10"/>
    <w:rsid w:val="001F1EE3"/>
    <w:rsid w:val="002008BF"/>
    <w:rsid w:val="00216EFD"/>
    <w:rsid w:val="00221D62"/>
    <w:rsid w:val="002300AC"/>
    <w:rsid w:val="00231DDB"/>
    <w:rsid w:val="00232C44"/>
    <w:rsid w:val="00237CF1"/>
    <w:rsid w:val="00237EE2"/>
    <w:rsid w:val="0025452B"/>
    <w:rsid w:val="002625C3"/>
    <w:rsid w:val="00290018"/>
    <w:rsid w:val="00293CED"/>
    <w:rsid w:val="002941DF"/>
    <w:rsid w:val="002A364B"/>
    <w:rsid w:val="002B0EC6"/>
    <w:rsid w:val="002B3666"/>
    <w:rsid w:val="002F1047"/>
    <w:rsid w:val="002F4B5C"/>
    <w:rsid w:val="002F5F7C"/>
    <w:rsid w:val="002F61AE"/>
    <w:rsid w:val="00304485"/>
    <w:rsid w:val="00304B60"/>
    <w:rsid w:val="00306FC0"/>
    <w:rsid w:val="00311BDE"/>
    <w:rsid w:val="00316CEF"/>
    <w:rsid w:val="00326687"/>
    <w:rsid w:val="00327865"/>
    <w:rsid w:val="00331B19"/>
    <w:rsid w:val="00337D76"/>
    <w:rsid w:val="003471F2"/>
    <w:rsid w:val="00351C06"/>
    <w:rsid w:val="00361A48"/>
    <w:rsid w:val="003715A5"/>
    <w:rsid w:val="003816E4"/>
    <w:rsid w:val="00386516"/>
    <w:rsid w:val="00393A9D"/>
    <w:rsid w:val="00393E14"/>
    <w:rsid w:val="00394DC2"/>
    <w:rsid w:val="003966FB"/>
    <w:rsid w:val="003A0404"/>
    <w:rsid w:val="003A2C98"/>
    <w:rsid w:val="003B3F58"/>
    <w:rsid w:val="003B5E9A"/>
    <w:rsid w:val="003C76C5"/>
    <w:rsid w:val="003E02BF"/>
    <w:rsid w:val="003F5D66"/>
    <w:rsid w:val="00405C54"/>
    <w:rsid w:val="00414A32"/>
    <w:rsid w:val="004156E2"/>
    <w:rsid w:val="0042588A"/>
    <w:rsid w:val="0042680F"/>
    <w:rsid w:val="00433766"/>
    <w:rsid w:val="00433A1C"/>
    <w:rsid w:val="00445238"/>
    <w:rsid w:val="004662E1"/>
    <w:rsid w:val="004722E1"/>
    <w:rsid w:val="0047420C"/>
    <w:rsid w:val="00475FE8"/>
    <w:rsid w:val="00485CA7"/>
    <w:rsid w:val="00490D30"/>
    <w:rsid w:val="004923D8"/>
    <w:rsid w:val="004A6879"/>
    <w:rsid w:val="004B072B"/>
    <w:rsid w:val="004C44B4"/>
    <w:rsid w:val="004D6E91"/>
    <w:rsid w:val="004D7AAF"/>
    <w:rsid w:val="004E7271"/>
    <w:rsid w:val="004F38EF"/>
    <w:rsid w:val="004F3F75"/>
    <w:rsid w:val="004F42D4"/>
    <w:rsid w:val="00522D15"/>
    <w:rsid w:val="00526082"/>
    <w:rsid w:val="00550E04"/>
    <w:rsid w:val="00551780"/>
    <w:rsid w:val="00553464"/>
    <w:rsid w:val="005771E0"/>
    <w:rsid w:val="005807E2"/>
    <w:rsid w:val="00593A3C"/>
    <w:rsid w:val="005A0649"/>
    <w:rsid w:val="005B2B1F"/>
    <w:rsid w:val="005B727A"/>
    <w:rsid w:val="005C573F"/>
    <w:rsid w:val="005C6F59"/>
    <w:rsid w:val="005D28D1"/>
    <w:rsid w:val="005F1C83"/>
    <w:rsid w:val="005F47B5"/>
    <w:rsid w:val="005F6625"/>
    <w:rsid w:val="005F7A73"/>
    <w:rsid w:val="00605D49"/>
    <w:rsid w:val="00625897"/>
    <w:rsid w:val="006362D8"/>
    <w:rsid w:val="00650316"/>
    <w:rsid w:val="00654E09"/>
    <w:rsid w:val="00655C45"/>
    <w:rsid w:val="0066203A"/>
    <w:rsid w:val="00672A71"/>
    <w:rsid w:val="00672AFA"/>
    <w:rsid w:val="00682563"/>
    <w:rsid w:val="00682C89"/>
    <w:rsid w:val="006B3320"/>
    <w:rsid w:val="006B37A7"/>
    <w:rsid w:val="006C5A7E"/>
    <w:rsid w:val="006C761D"/>
    <w:rsid w:val="006E0078"/>
    <w:rsid w:val="006E733A"/>
    <w:rsid w:val="006E7B38"/>
    <w:rsid w:val="00700502"/>
    <w:rsid w:val="007019C4"/>
    <w:rsid w:val="00714FD1"/>
    <w:rsid w:val="007436F3"/>
    <w:rsid w:val="007576C9"/>
    <w:rsid w:val="00761160"/>
    <w:rsid w:val="0076379A"/>
    <w:rsid w:val="00765A92"/>
    <w:rsid w:val="00765EBF"/>
    <w:rsid w:val="00773437"/>
    <w:rsid w:val="00775540"/>
    <w:rsid w:val="0078049C"/>
    <w:rsid w:val="00780549"/>
    <w:rsid w:val="00780F50"/>
    <w:rsid w:val="007B241D"/>
    <w:rsid w:val="007C7F35"/>
    <w:rsid w:val="007D7B5A"/>
    <w:rsid w:val="007E07D0"/>
    <w:rsid w:val="00804E70"/>
    <w:rsid w:val="00805645"/>
    <w:rsid w:val="00806BF2"/>
    <w:rsid w:val="008126EF"/>
    <w:rsid w:val="00812E03"/>
    <w:rsid w:val="00813A57"/>
    <w:rsid w:val="00824413"/>
    <w:rsid w:val="0083047A"/>
    <w:rsid w:val="00852E4E"/>
    <w:rsid w:val="008648CB"/>
    <w:rsid w:val="0088002E"/>
    <w:rsid w:val="00886821"/>
    <w:rsid w:val="00891079"/>
    <w:rsid w:val="008A1B1E"/>
    <w:rsid w:val="008B4268"/>
    <w:rsid w:val="008C0DD7"/>
    <w:rsid w:val="008C5F41"/>
    <w:rsid w:val="008F65DD"/>
    <w:rsid w:val="00904C9F"/>
    <w:rsid w:val="00905ED8"/>
    <w:rsid w:val="00921CE9"/>
    <w:rsid w:val="00932447"/>
    <w:rsid w:val="00941FA2"/>
    <w:rsid w:val="009503D1"/>
    <w:rsid w:val="009A0622"/>
    <w:rsid w:val="009B29BA"/>
    <w:rsid w:val="009D649C"/>
    <w:rsid w:val="009D6F4C"/>
    <w:rsid w:val="009E44F1"/>
    <w:rsid w:val="009E5009"/>
    <w:rsid w:val="009E5D8A"/>
    <w:rsid w:val="009F1269"/>
    <w:rsid w:val="00A244C1"/>
    <w:rsid w:val="00A34FC5"/>
    <w:rsid w:val="00A37CC2"/>
    <w:rsid w:val="00A52D43"/>
    <w:rsid w:val="00A54A61"/>
    <w:rsid w:val="00A62B01"/>
    <w:rsid w:val="00A637DB"/>
    <w:rsid w:val="00A671A7"/>
    <w:rsid w:val="00A82C82"/>
    <w:rsid w:val="00A93B79"/>
    <w:rsid w:val="00A95644"/>
    <w:rsid w:val="00A97D9A"/>
    <w:rsid w:val="00AB09CA"/>
    <w:rsid w:val="00AC4EB9"/>
    <w:rsid w:val="00AD019D"/>
    <w:rsid w:val="00AD2C47"/>
    <w:rsid w:val="00AD73FD"/>
    <w:rsid w:val="00AD7568"/>
    <w:rsid w:val="00AE2D0D"/>
    <w:rsid w:val="00AF0AD7"/>
    <w:rsid w:val="00AF532B"/>
    <w:rsid w:val="00B04C9E"/>
    <w:rsid w:val="00B12833"/>
    <w:rsid w:val="00B16D99"/>
    <w:rsid w:val="00B21017"/>
    <w:rsid w:val="00B22946"/>
    <w:rsid w:val="00B27840"/>
    <w:rsid w:val="00B27EDA"/>
    <w:rsid w:val="00B42F68"/>
    <w:rsid w:val="00B46440"/>
    <w:rsid w:val="00B60A50"/>
    <w:rsid w:val="00B62172"/>
    <w:rsid w:val="00B73ED6"/>
    <w:rsid w:val="00B80A8B"/>
    <w:rsid w:val="00B83959"/>
    <w:rsid w:val="00B850D2"/>
    <w:rsid w:val="00B86D7A"/>
    <w:rsid w:val="00BB7F50"/>
    <w:rsid w:val="00BC42E6"/>
    <w:rsid w:val="00BC45FF"/>
    <w:rsid w:val="00BD23D3"/>
    <w:rsid w:val="00BD3807"/>
    <w:rsid w:val="00BD5A9F"/>
    <w:rsid w:val="00C1514A"/>
    <w:rsid w:val="00C20937"/>
    <w:rsid w:val="00C24098"/>
    <w:rsid w:val="00C24FD9"/>
    <w:rsid w:val="00C25215"/>
    <w:rsid w:val="00C34EB9"/>
    <w:rsid w:val="00C37D53"/>
    <w:rsid w:val="00C6247A"/>
    <w:rsid w:val="00C6434A"/>
    <w:rsid w:val="00C6440A"/>
    <w:rsid w:val="00C7662B"/>
    <w:rsid w:val="00C915CE"/>
    <w:rsid w:val="00C951F6"/>
    <w:rsid w:val="00C97A67"/>
    <w:rsid w:val="00CB0064"/>
    <w:rsid w:val="00CB04F8"/>
    <w:rsid w:val="00CB6A80"/>
    <w:rsid w:val="00CB769F"/>
    <w:rsid w:val="00CC2101"/>
    <w:rsid w:val="00CC6E79"/>
    <w:rsid w:val="00CD02B3"/>
    <w:rsid w:val="00CD1AFC"/>
    <w:rsid w:val="00CE377C"/>
    <w:rsid w:val="00CF17C7"/>
    <w:rsid w:val="00CF419E"/>
    <w:rsid w:val="00CF76D7"/>
    <w:rsid w:val="00D071A5"/>
    <w:rsid w:val="00D11A50"/>
    <w:rsid w:val="00D11EBB"/>
    <w:rsid w:val="00D12187"/>
    <w:rsid w:val="00D2308F"/>
    <w:rsid w:val="00D34832"/>
    <w:rsid w:val="00D81678"/>
    <w:rsid w:val="00D857D7"/>
    <w:rsid w:val="00D90B2C"/>
    <w:rsid w:val="00D92A4F"/>
    <w:rsid w:val="00D94DD0"/>
    <w:rsid w:val="00DA45FD"/>
    <w:rsid w:val="00DE0034"/>
    <w:rsid w:val="00DF213C"/>
    <w:rsid w:val="00DF2BEF"/>
    <w:rsid w:val="00DF6BF3"/>
    <w:rsid w:val="00E00A1B"/>
    <w:rsid w:val="00E01014"/>
    <w:rsid w:val="00E05B60"/>
    <w:rsid w:val="00E14ADC"/>
    <w:rsid w:val="00E20DD5"/>
    <w:rsid w:val="00E21554"/>
    <w:rsid w:val="00E32DBF"/>
    <w:rsid w:val="00E437C3"/>
    <w:rsid w:val="00E50D01"/>
    <w:rsid w:val="00E52989"/>
    <w:rsid w:val="00E54445"/>
    <w:rsid w:val="00E61FB1"/>
    <w:rsid w:val="00E63FC2"/>
    <w:rsid w:val="00E7140F"/>
    <w:rsid w:val="00E81852"/>
    <w:rsid w:val="00E83A88"/>
    <w:rsid w:val="00E871B7"/>
    <w:rsid w:val="00E949FA"/>
    <w:rsid w:val="00E97D1E"/>
    <w:rsid w:val="00EA54ED"/>
    <w:rsid w:val="00EB20CA"/>
    <w:rsid w:val="00EB4B6C"/>
    <w:rsid w:val="00EB4DAE"/>
    <w:rsid w:val="00EB61DF"/>
    <w:rsid w:val="00ED0D3D"/>
    <w:rsid w:val="00ED0D4F"/>
    <w:rsid w:val="00ED4275"/>
    <w:rsid w:val="00EE3118"/>
    <w:rsid w:val="00F00BCB"/>
    <w:rsid w:val="00F031F8"/>
    <w:rsid w:val="00F55887"/>
    <w:rsid w:val="00F6032F"/>
    <w:rsid w:val="00F6455E"/>
    <w:rsid w:val="00F70F17"/>
    <w:rsid w:val="00F7647A"/>
    <w:rsid w:val="00F91667"/>
    <w:rsid w:val="00FA45AB"/>
    <w:rsid w:val="00FA4ABC"/>
    <w:rsid w:val="00FA5864"/>
    <w:rsid w:val="00FB41CB"/>
    <w:rsid w:val="00FB5306"/>
    <w:rsid w:val="00FC2257"/>
    <w:rsid w:val="00FD0A90"/>
    <w:rsid w:val="00FD297A"/>
    <w:rsid w:val="00FD50B8"/>
    <w:rsid w:val="00FF1668"/>
    <w:rsid w:val="00FF34B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B2C9C"/>
  <w15:docId w15:val="{5EFCF471-68AE-40F5-8FFA-A4B4390B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66"/>
    <w:pPr>
      <w:ind w:left="720"/>
      <w:contextualSpacing/>
    </w:pPr>
  </w:style>
  <w:style w:type="character" w:customStyle="1" w:styleId="pspdfkit-6fq5ysqkmc2gc1fek9b659qfh8">
    <w:name w:val="pspdfkit-6fq5ysqkmc2gc1fek9b659qfh8"/>
    <w:basedOn w:val="Carpredefinitoparagrafo"/>
    <w:rsid w:val="00F70F17"/>
  </w:style>
  <w:style w:type="paragraph" w:styleId="Revisione">
    <w:name w:val="Revision"/>
    <w:hidden/>
    <w:uiPriority w:val="99"/>
    <w:semiHidden/>
    <w:rsid w:val="00D2308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348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48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48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8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 Rowe Price theme">
  <a:themeElements>
    <a:clrScheme name="TRowePrice_Colors_2015">
      <a:dk1>
        <a:srgbClr val="000000"/>
      </a:dk1>
      <a:lt1>
        <a:srgbClr val="FFFFFF"/>
      </a:lt1>
      <a:dk2>
        <a:srgbClr val="4F4F4F"/>
      </a:dk2>
      <a:lt2>
        <a:srgbClr val="FFFFFF"/>
      </a:lt2>
      <a:accent1>
        <a:srgbClr val="054C70"/>
      </a:accent1>
      <a:accent2>
        <a:srgbClr val="05C3DE"/>
      </a:accent2>
      <a:accent3>
        <a:srgbClr val="4F4F4F"/>
      </a:accent3>
      <a:accent4>
        <a:srgbClr val="A7A7A7"/>
      </a:accent4>
      <a:accent5>
        <a:srgbClr val="D8D8D8"/>
      </a:accent5>
      <a:accent6>
        <a:srgbClr val="F4F4F4"/>
      </a:accent6>
      <a:hlink>
        <a:srgbClr val="05C3DE"/>
      </a:hlink>
      <a:folHlink>
        <a:srgbClr val="A7A7A7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tIns="91440" bIns="91440" rtlCol="0" anchor="t">
        <a:noAutofit/>
      </a:bodyPr>
      <a:lstStyle>
        <a:defPPr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rnd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27013" indent="-227013">
          <a:spcAft>
            <a:spcPts val="1000"/>
          </a:spcAft>
          <a:buClr>
            <a:schemeClr val="accent2"/>
          </a:buClr>
          <a:buFont typeface="Wingdings" panose="05000000000000000000" pitchFamily="2" charset="2"/>
          <a:buChar char="§"/>
          <a:defRPr sz="2000"/>
        </a:defPPr>
      </a:lstStyle>
    </a:txDef>
  </a:objectDefaults>
  <a:extraClrSchemeLst/>
  <a:custClrLst>
    <a:custClr name="TRP Bright Blue">
      <a:srgbClr val="05C3DE"/>
    </a:custClr>
    <a:custClr name="TRP Dark Blue">
      <a:srgbClr val="054C70"/>
    </a:custClr>
    <a:custClr name="TRP Dark Gray">
      <a:srgbClr val="4F4F4F"/>
    </a:custClr>
    <a:custClr name="TRP 25% Dark Gray">
      <a:srgbClr val="CECECE"/>
    </a:custClr>
    <a:custClr name="TRP 70% Dark Gray">
      <a:srgbClr val="767676"/>
    </a:custClr>
    <a:custClr name="PMS 138">
      <a:srgbClr val="E47F00"/>
    </a:custClr>
    <a:custClr name="PMS 576">
      <a:srgbClr val="7D9845"/>
    </a:custClr>
    <a:custClr name="PMS 668">
      <a:srgbClr val="614B79"/>
    </a:custClr>
    <a:custClr name="PMS 5483">
      <a:srgbClr val="38939B"/>
    </a:custClr>
    <a:custClr name="PMS 7405">
      <a:srgbClr val="FFDD00"/>
    </a:custClr>
    <a:custClr name="TRP 15% Dark Gray">
      <a:srgbClr val="E5E5E5"/>
    </a:custClr>
  </a:custClrLst>
  <a:extLst>
    <a:ext uri="{05A4C25C-085E-4340-85A3-A5531E510DB2}">
      <thm15:themeFamily xmlns:thm15="http://schemas.microsoft.com/office/thememl/2012/main" name="T Rowe Price theme" id="{FBF27B1C-9DEB-4E0E-B9B3-731B3850F6D0}" vid="{475D1A01-6455-4195-AB45-7047F29775A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1084</Words>
  <Characters>6179</Characters>
  <Application>Microsoft Office Word</Application>
  <DocSecurity>0</DocSecurity>
  <Lines>92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Oliver (TRPA)</dc:creator>
  <cp:keywords/>
  <dc:description/>
  <cp:lastModifiedBy>Jacopo Bogo</cp:lastModifiedBy>
  <cp:revision>11</cp:revision>
  <cp:lastPrinted>2023-03-01T13:52:00Z</cp:lastPrinted>
  <dcterms:created xsi:type="dcterms:W3CDTF">2023-04-12T08:54:00Z</dcterms:created>
  <dcterms:modified xsi:type="dcterms:W3CDTF">2023-04-14T12:43:00Z</dcterms:modified>
</cp:coreProperties>
</file>