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279" w14:textId="632AFFE3" w:rsidR="00782B7B" w:rsidRPr="00072CB5" w:rsidRDefault="00072CB5" w:rsidP="00072CB5">
      <w:pPr>
        <w:shd w:val="clear" w:color="auto" w:fill="FFFFFF"/>
        <w:contextualSpacing/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TCW </w:t>
      </w:r>
      <w:r w:rsidR="000F72C0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–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</w:t>
      </w:r>
      <w:r w:rsidR="000F72C0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La </w:t>
      </w:r>
      <w:r w:rsidR="000F72C0" w:rsidRPr="000F72C0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Cina e i </w:t>
      </w:r>
      <w:r w:rsidR="000F72C0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p</w:t>
      </w:r>
      <w:r w:rsidR="000F72C0" w:rsidRPr="000F72C0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aesi emergenti </w:t>
      </w:r>
      <w:r w:rsidR="00F31A4A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saranno il </w:t>
      </w:r>
      <w:r w:rsidR="000F72C0" w:rsidRPr="000F72C0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motor</w:t>
      </w:r>
      <w:r w:rsidR="00F31A4A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>e</w:t>
      </w:r>
      <w:r w:rsidR="000F72C0" w:rsidRPr="000F72C0"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  <w:t xml:space="preserve"> della crescita globale nel 2023</w:t>
      </w:r>
    </w:p>
    <w:p w14:paraId="4A0A0091" w14:textId="77777777" w:rsidR="00782B7B" w:rsidRPr="00072CB5" w:rsidRDefault="00782B7B" w:rsidP="00072CB5">
      <w:pPr>
        <w:shd w:val="clear" w:color="auto" w:fill="FFFFFF"/>
        <w:contextualSpacing/>
        <w:rPr>
          <w:rFonts w:ascii="Calibri" w:eastAsia="Times New Roman" w:hAnsi="Calibri" w:cs="Calibri"/>
          <w:b/>
          <w:bCs/>
          <w:kern w:val="0"/>
          <w:sz w:val="22"/>
          <w:szCs w:val="22"/>
          <w:lang w:val="it-IT" w:eastAsia="en-GB"/>
          <w14:ligatures w14:val="none"/>
        </w:rPr>
      </w:pPr>
    </w:p>
    <w:p w14:paraId="43D7C960" w14:textId="74F08422" w:rsidR="00782B7B" w:rsidRPr="00072CB5" w:rsidRDefault="00782B7B" w:rsidP="00072CB5">
      <w:pPr>
        <w:shd w:val="clear" w:color="auto" w:fill="FFFFFF"/>
        <w:contextualSpacing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GB"/>
          <w14:ligatures w14:val="none"/>
        </w:rPr>
      </w:pPr>
      <w:r w:rsidRPr="00072CB5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A </w:t>
      </w:r>
      <w:proofErr w:type="spellStart"/>
      <w:r w:rsidRPr="00072CB5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cura</w:t>
      </w:r>
      <w:proofErr w:type="spellEnd"/>
      <w:r w:rsidRPr="00072CB5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di</w:t>
      </w:r>
      <w:r w:rsidRPr="00072CB5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GB"/>
          <w14:ligatures w14:val="none"/>
        </w:rPr>
        <w:t xml:space="preserve"> Anisha A. Goodly, Managing Director, Emerging Markets - Portfolio Specialist, TCW</w:t>
      </w:r>
    </w:p>
    <w:p w14:paraId="39EBB51C" w14:textId="77777777" w:rsidR="00782B7B" w:rsidRPr="00072CB5" w:rsidRDefault="00782B7B" w:rsidP="00072CB5">
      <w:pPr>
        <w:shd w:val="clear" w:color="auto" w:fill="FFFFFF"/>
        <w:contextualSpacing/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</w:pPr>
    </w:p>
    <w:p w14:paraId="0A109ECA" w14:textId="05DCA07D" w:rsidR="007E0F99" w:rsidRDefault="007E0F99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</w:pPr>
      <w:r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Dopo un inizio d’anno positivo, i mercati </w:t>
      </w:r>
      <w:r w:rsid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>si sono trovati</w:t>
      </w:r>
      <w:r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sotto pressione a febbraio, dopo che il rapporto sui posti di lavoro negli Stati Uniti ha rinnovato i timori di un’inflazione più persistente e di ulteriori rialzi dei tassi. Il debito sovrano dei </w:t>
      </w:r>
      <w:r w:rsidR="00072CB5"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mercati emergenti </w:t>
      </w:r>
      <w:r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denominato in dollari ha registrato un rendimento del -2,2% e il debito in valuta locale </w:t>
      </w:r>
      <w:r w:rsid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>emergente</w:t>
      </w:r>
      <w:r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ha sottoperformato, con un rendimento del -3,2%, sulla scia di un rally del 2,7% del dollaro.</w:t>
      </w:r>
    </w:p>
    <w:p w14:paraId="7A1EC943" w14:textId="77777777" w:rsidR="00072CB5" w:rsidRPr="00072CB5" w:rsidRDefault="00072CB5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</w:pPr>
    </w:p>
    <w:p w14:paraId="3E3DD920" w14:textId="07C55AEA" w:rsidR="005836C1" w:rsidRPr="006911A6" w:rsidRDefault="007E0F99" w:rsidP="006911A6">
      <w:pPr>
        <w:pStyle w:val="p2"/>
        <w:shd w:val="clear" w:color="auto" w:fill="FFFFFF"/>
        <w:spacing w:before="0" w:beforeAutospacing="0" w:after="0" w:afterAutospacing="0"/>
        <w:contextualSpacing/>
        <w:rPr>
          <w:rStyle w:val="Enfasigrassetto"/>
          <w:rFonts w:ascii="Calibri" w:hAnsi="Calibri" w:cs="Calibri"/>
          <w:b w:val="0"/>
          <w:bCs w:val="0"/>
          <w:sz w:val="22"/>
          <w:szCs w:val="22"/>
          <w:lang w:val="it-IT"/>
        </w:rPr>
      </w:pPr>
      <w:r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In prospettiva, riteniamo che i rendimenti </w:t>
      </w:r>
      <w:r w:rsid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>dei paesi emergenti</w:t>
      </w:r>
      <w:r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saranno in gran parte guidati </w:t>
      </w:r>
      <w:r w:rsid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>da differenti</w:t>
      </w:r>
      <w:r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fattori</w:t>
      </w:r>
      <w:r w:rsidR="00072CB5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072CB5">
        <w:rPr>
          <w:rStyle w:val="Enfasigrassetto"/>
          <w:rFonts w:ascii="Calibri" w:hAnsi="Calibri" w:cs="Calibri"/>
          <w:sz w:val="22"/>
          <w:szCs w:val="22"/>
          <w:lang w:val="it-IT"/>
        </w:rPr>
        <w:t>In primis, l’i</w:t>
      </w:r>
      <w:r w:rsidRPr="00072CB5">
        <w:rPr>
          <w:rStyle w:val="Enfasigrassetto"/>
          <w:rFonts w:ascii="Calibri" w:hAnsi="Calibri" w:cs="Calibri"/>
          <w:sz w:val="22"/>
          <w:szCs w:val="22"/>
          <w:lang w:val="it-IT"/>
        </w:rPr>
        <w:t xml:space="preserve">nflazione statunitense e </w:t>
      </w:r>
      <w:r w:rsidR="00072CB5">
        <w:rPr>
          <w:rStyle w:val="Enfasigrassetto"/>
          <w:rFonts w:ascii="Calibri" w:hAnsi="Calibri" w:cs="Calibri"/>
          <w:sz w:val="22"/>
          <w:szCs w:val="22"/>
          <w:lang w:val="it-IT"/>
        </w:rPr>
        <w:t xml:space="preserve">la </w:t>
      </w:r>
      <w:r w:rsidRPr="00072CB5">
        <w:rPr>
          <w:rStyle w:val="Enfasigrassetto"/>
          <w:rFonts w:ascii="Calibri" w:hAnsi="Calibri" w:cs="Calibri"/>
          <w:sz w:val="22"/>
          <w:szCs w:val="22"/>
          <w:lang w:val="it-IT"/>
        </w:rPr>
        <w:t>politica della Fed</w:t>
      </w:r>
      <w:r w:rsidR="00072CB5">
        <w:rPr>
          <w:rStyle w:val="Enfasigrassetto"/>
          <w:rFonts w:ascii="Calibri" w:hAnsi="Calibri" w:cs="Calibri"/>
          <w:sz w:val="22"/>
          <w:szCs w:val="22"/>
          <w:lang w:val="it-IT"/>
        </w:rPr>
        <w:t>.</w:t>
      </w:r>
      <w:r w:rsidRPr="00072CB5">
        <w:rPr>
          <w:rStyle w:val="Enfasigrassetto"/>
          <w:rFonts w:ascii="Calibri" w:hAnsi="Calibri" w:cs="Calibri"/>
          <w:b w:val="0"/>
          <w:bCs w:val="0"/>
          <w:sz w:val="22"/>
          <w:szCs w:val="22"/>
          <w:lang w:val="it-IT"/>
        </w:rPr>
        <w:t xml:space="preserve"> I dati statunitensi rimangono solidi e non ci sono segnali significativi di un rallentamento dell’economia nel breve termine. Per questo motivo, oltre a prevedere ulteriori rialzi dei tassi, </w:t>
      </w:r>
      <w:r w:rsidRPr="006911A6">
        <w:rPr>
          <w:rStyle w:val="Enfasigrassetto"/>
          <w:rFonts w:ascii="Calibri" w:hAnsi="Calibri" w:cs="Calibri"/>
          <w:sz w:val="22"/>
          <w:szCs w:val="22"/>
          <w:lang w:val="it-IT"/>
        </w:rPr>
        <w:t xml:space="preserve">il mercato ha </w:t>
      </w:r>
      <w:r w:rsidR="00072CB5" w:rsidRPr="006911A6">
        <w:rPr>
          <w:rStyle w:val="Enfasigrassetto"/>
          <w:rFonts w:ascii="Calibri" w:hAnsi="Calibri" w:cs="Calibri"/>
          <w:sz w:val="22"/>
          <w:szCs w:val="22"/>
          <w:lang w:val="it-IT"/>
        </w:rPr>
        <w:t>prezzato tassi più alti più a lungo</w:t>
      </w:r>
      <w:r w:rsidRPr="00072CB5">
        <w:rPr>
          <w:rStyle w:val="Enfasigrassetto"/>
          <w:rFonts w:ascii="Calibri" w:hAnsi="Calibri" w:cs="Calibri"/>
          <w:b w:val="0"/>
          <w:bCs w:val="0"/>
          <w:sz w:val="22"/>
          <w:szCs w:val="22"/>
          <w:lang w:val="it-IT"/>
        </w:rPr>
        <w:t xml:space="preserve">, con tagli dei tassi </w:t>
      </w:r>
      <w:r w:rsidR="00072CB5">
        <w:rPr>
          <w:rStyle w:val="Enfasigrassetto"/>
          <w:rFonts w:ascii="Calibri" w:hAnsi="Calibri" w:cs="Calibri"/>
          <w:b w:val="0"/>
          <w:bCs w:val="0"/>
          <w:sz w:val="22"/>
          <w:szCs w:val="22"/>
          <w:lang w:val="it-IT"/>
        </w:rPr>
        <w:t>sempre più lontani</w:t>
      </w:r>
      <w:r w:rsidRPr="00072CB5">
        <w:rPr>
          <w:rStyle w:val="Enfasigrassetto"/>
          <w:rFonts w:ascii="Calibri" w:hAnsi="Calibri" w:cs="Calibri"/>
          <w:b w:val="0"/>
          <w:bCs w:val="0"/>
          <w:sz w:val="22"/>
          <w:szCs w:val="22"/>
          <w:lang w:val="it-IT"/>
        </w:rPr>
        <w:t xml:space="preserve">. Data l’entità del ribasso dei tassi a febbraio - ovvero 50 punti base (bps) in più nel rendimento del Treasury a 10 anni - riteniamo che la maggior parte di questo movimento sia probabilmente già avvenuta e, anche se il breve termine sarà probabilmente volatile, saremmo orientati a trarre vantaggio da ulteriori ribassi dei tassi per aggiungere duration. Nel nostro scenario di base, </w:t>
      </w:r>
      <w:r w:rsidRPr="006911A6">
        <w:rPr>
          <w:rStyle w:val="Enfasigrassetto"/>
          <w:rFonts w:ascii="Calibri" w:hAnsi="Calibri" w:cs="Calibri"/>
          <w:sz w:val="22"/>
          <w:szCs w:val="22"/>
          <w:lang w:val="it-IT"/>
        </w:rPr>
        <w:t xml:space="preserve">prevediamo ancora una lieve recessione negli Stati Uniti, ma riconosciamo che i rischi sono tanto più bassi quanto più la Fed </w:t>
      </w:r>
      <w:r w:rsidR="0075341D" w:rsidRPr="006911A6">
        <w:rPr>
          <w:rStyle w:val="Enfasigrassetto"/>
          <w:rFonts w:ascii="Calibri" w:hAnsi="Calibri" w:cs="Calibri"/>
          <w:sz w:val="22"/>
          <w:szCs w:val="22"/>
          <w:lang w:val="it-IT"/>
        </w:rPr>
        <w:t xml:space="preserve">dovrà </w:t>
      </w:r>
      <w:r w:rsidRPr="006911A6">
        <w:rPr>
          <w:rStyle w:val="Enfasigrassetto"/>
          <w:rFonts w:ascii="Calibri" w:hAnsi="Calibri" w:cs="Calibri"/>
          <w:sz w:val="22"/>
          <w:szCs w:val="22"/>
          <w:lang w:val="it-IT"/>
        </w:rPr>
        <w:t>aumentare i tassi</w:t>
      </w:r>
      <w:r w:rsidRPr="00072CB5">
        <w:rPr>
          <w:rStyle w:val="Enfasigrassetto"/>
          <w:rFonts w:ascii="Calibri" w:hAnsi="Calibri" w:cs="Calibri"/>
          <w:b w:val="0"/>
          <w:bCs w:val="0"/>
          <w:sz w:val="22"/>
          <w:szCs w:val="22"/>
          <w:lang w:val="it-IT"/>
        </w:rPr>
        <w:t>.</w:t>
      </w:r>
      <w:r w:rsidR="005836C1" w:rsidRPr="00072CB5">
        <w:rPr>
          <w:rStyle w:val="Enfasigrassetto"/>
          <w:rFonts w:ascii="Calibri" w:eastAsiaTheme="minorHAnsi" w:hAnsi="Calibri" w:cs="Calibri"/>
          <w:b w:val="0"/>
          <w:bCs w:val="0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</w:t>
      </w:r>
    </w:p>
    <w:p w14:paraId="779BFE28" w14:textId="77777777" w:rsidR="009F623F" w:rsidRDefault="009F623F" w:rsidP="009F623F">
      <w:pPr>
        <w:pStyle w:val="p2"/>
        <w:shd w:val="clear" w:color="auto" w:fill="FFFFFF"/>
        <w:spacing w:before="0" w:beforeAutospacing="0" w:after="0" w:afterAutospacing="0"/>
        <w:contextualSpacing/>
        <w:rPr>
          <w:rStyle w:val="Enfasigrassetto"/>
          <w:rFonts w:ascii="Calibri" w:hAnsi="Calibri" w:cs="Calibri"/>
          <w:sz w:val="22"/>
          <w:szCs w:val="22"/>
          <w:lang w:val="it-IT"/>
        </w:rPr>
      </w:pPr>
    </w:p>
    <w:p w14:paraId="425841B3" w14:textId="1DBC97A0" w:rsidR="005836C1" w:rsidRPr="00072CB5" w:rsidRDefault="0075341D" w:rsidP="006911A6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</w:pPr>
      <w:r>
        <w:rPr>
          <w:rFonts w:ascii="Calibri" w:hAnsi="Calibri" w:cs="Calibri"/>
          <w:sz w:val="22"/>
          <w:szCs w:val="22"/>
          <w:lang w:val="it-IT"/>
        </w:rPr>
        <w:t>In seconda battuta, r</w:t>
      </w:r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iteniamo che </w:t>
      </w:r>
      <w:r w:rsidR="00521B08" w:rsidRPr="006911A6">
        <w:rPr>
          <w:rFonts w:ascii="Calibri" w:hAnsi="Calibri" w:cs="Calibri"/>
          <w:b/>
          <w:bCs/>
          <w:sz w:val="22"/>
          <w:szCs w:val="22"/>
          <w:lang w:val="it-IT"/>
        </w:rPr>
        <w:t>la Cina sia pronta per una forte ripresa nel 2023 e che questa crescita si trasmetterà al resto del mondo</w:t>
      </w:r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 attraverso il commercio, il turismo e le materie prime, con altri mercati emergenti destinati a beneficiarne </w:t>
      </w:r>
      <w:r>
        <w:rPr>
          <w:rFonts w:ascii="Calibri" w:hAnsi="Calibri" w:cs="Calibri"/>
          <w:sz w:val="22"/>
          <w:szCs w:val="22"/>
          <w:lang w:val="it-IT"/>
        </w:rPr>
        <w:t>in modo particolare</w:t>
      </w:r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. Pertanto, </w:t>
      </w:r>
      <w:r w:rsidR="00521B08"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la Cina e i </w:t>
      </w:r>
      <w:r w:rsidR="000F72C0">
        <w:rPr>
          <w:rFonts w:ascii="Calibri" w:hAnsi="Calibri" w:cs="Calibri"/>
          <w:b/>
          <w:bCs/>
          <w:sz w:val="22"/>
          <w:szCs w:val="22"/>
          <w:lang w:val="it-IT"/>
        </w:rPr>
        <w:t>p</w:t>
      </w:r>
      <w:r w:rsidR="00521B08" w:rsidRPr="006911A6">
        <w:rPr>
          <w:rFonts w:ascii="Calibri" w:hAnsi="Calibri" w:cs="Calibri"/>
          <w:b/>
          <w:bCs/>
          <w:sz w:val="22"/>
          <w:szCs w:val="22"/>
          <w:lang w:val="it-IT"/>
        </w:rPr>
        <w:t>aesi emergenti dovrebbero essere i</w:t>
      </w:r>
      <w:r w:rsidR="00F31A4A">
        <w:rPr>
          <w:rFonts w:ascii="Calibri" w:hAnsi="Calibri" w:cs="Calibri"/>
          <w:b/>
          <w:bCs/>
          <w:sz w:val="22"/>
          <w:szCs w:val="22"/>
          <w:lang w:val="it-IT"/>
        </w:rPr>
        <w:t>l motore</w:t>
      </w:r>
      <w:r w:rsidR="00521B08"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 principal</w:t>
      </w:r>
      <w:r w:rsidR="00F31A4A">
        <w:rPr>
          <w:rFonts w:ascii="Calibri" w:hAnsi="Calibri" w:cs="Calibri"/>
          <w:b/>
          <w:bCs/>
          <w:sz w:val="22"/>
          <w:szCs w:val="22"/>
          <w:lang w:val="it-IT"/>
        </w:rPr>
        <w:t>e</w:t>
      </w:r>
      <w:r w:rsidR="00521B08"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 della crescita globale nel 2023. </w:t>
      </w:r>
      <w:r w:rsidR="00521B08" w:rsidRPr="00072CB5">
        <w:rPr>
          <w:rFonts w:ascii="Calibri" w:hAnsi="Calibri" w:cs="Calibri"/>
          <w:sz w:val="22"/>
          <w:szCs w:val="22"/>
          <w:lang w:val="it-IT"/>
        </w:rPr>
        <w:t>Supponendo la stabilità dei tassi statunitensi, un aumento del differenziale di crescita tra mercati emergenti e mercati sviluppati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potrebbe determinare una </w:t>
      </w:r>
      <w:proofErr w:type="spellStart"/>
      <w:r w:rsidR="00521B08" w:rsidRPr="00072CB5">
        <w:rPr>
          <w:rFonts w:ascii="Calibri" w:hAnsi="Calibri" w:cs="Calibri"/>
          <w:sz w:val="22"/>
          <w:szCs w:val="22"/>
          <w:lang w:val="it-IT"/>
        </w:rPr>
        <w:t>sovraperformance</w:t>
      </w:r>
      <w:proofErr w:type="spellEnd"/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 delle valute dei mercati emergenti rispetto al dollaro, creando opportunità nel debito in valuta locale. </w:t>
      </w:r>
      <w:r w:rsidR="005836C1"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</w:t>
      </w:r>
    </w:p>
    <w:p w14:paraId="666B335E" w14:textId="77777777" w:rsidR="009F623F" w:rsidRDefault="009F623F" w:rsidP="009F623F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57CFA997" w14:textId="0308BFA0" w:rsidR="005836C1" w:rsidRPr="006911A6" w:rsidRDefault="0075341D" w:rsidP="006911A6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eastAsiaTheme="minorHAnsi" w:hAnsi="Calibri" w:cs="Calibri"/>
          <w:b/>
          <w:bCs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</w:pPr>
      <w:r>
        <w:rPr>
          <w:rFonts w:ascii="Calibri" w:hAnsi="Calibri" w:cs="Calibri"/>
          <w:sz w:val="22"/>
          <w:szCs w:val="22"/>
          <w:lang w:val="it-IT"/>
        </w:rPr>
        <w:t>Infine, l</w:t>
      </w:r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o spread dell’EMBI Global </w:t>
      </w:r>
      <w:proofErr w:type="spellStart"/>
      <w:r w:rsidR="00521B08" w:rsidRPr="00072CB5">
        <w:rPr>
          <w:rFonts w:ascii="Calibri" w:hAnsi="Calibri" w:cs="Calibri"/>
          <w:sz w:val="22"/>
          <w:szCs w:val="22"/>
          <w:lang w:val="it-IT"/>
        </w:rPr>
        <w:t>Diversified</w:t>
      </w:r>
      <w:proofErr w:type="spellEnd"/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 è di circa 442 punti base e riteniamo che il fair value sia compreso nell'intervallo 400-450 punti base. Al di sopra dei 450 punti base, e in particolare al di sopra dei 500 punti base, saremmo propensi ad aggiungere rischio</w:t>
      </w:r>
      <w:r>
        <w:rPr>
          <w:rFonts w:ascii="Calibri" w:hAnsi="Calibri" w:cs="Calibri"/>
          <w:sz w:val="22"/>
          <w:szCs w:val="22"/>
          <w:lang w:val="it-IT"/>
        </w:rPr>
        <w:t>,</w:t>
      </w:r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 a ridurre</w:t>
      </w:r>
      <w:r>
        <w:rPr>
          <w:rFonts w:ascii="Calibri" w:hAnsi="Calibri" w:cs="Calibri"/>
          <w:sz w:val="22"/>
          <w:szCs w:val="22"/>
          <w:lang w:val="it-IT"/>
        </w:rPr>
        <w:t>, invece,</w:t>
      </w:r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 il rischio se gli spread si trovano all’interno dei 400 punti base. Dal punto di vista del rendimento complessivo, l’EMBI Global </w:t>
      </w:r>
      <w:proofErr w:type="spellStart"/>
      <w:r w:rsidR="00521B08" w:rsidRPr="00072CB5">
        <w:rPr>
          <w:rFonts w:ascii="Calibri" w:hAnsi="Calibri" w:cs="Calibri"/>
          <w:sz w:val="22"/>
          <w:szCs w:val="22"/>
          <w:lang w:val="it-IT"/>
        </w:rPr>
        <w:t>Diversified</w:t>
      </w:r>
      <w:proofErr w:type="spellEnd"/>
      <w:r w:rsidR="00521B08" w:rsidRPr="00072CB5">
        <w:rPr>
          <w:rFonts w:ascii="Calibri" w:hAnsi="Calibri" w:cs="Calibri"/>
          <w:sz w:val="22"/>
          <w:szCs w:val="22"/>
          <w:lang w:val="it-IT"/>
        </w:rPr>
        <w:t xml:space="preserve"> si colloca al 92° percentile rispetto alla storia, il che significa che </w:t>
      </w:r>
      <w:r w:rsidR="00521B08"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solo nell’8% dei casi negli ultimi due decenni i rendimenti sono stati superiori. </w:t>
      </w:r>
      <w:r w:rsidR="005836C1" w:rsidRPr="006911A6">
        <w:rPr>
          <w:rFonts w:ascii="Calibri" w:eastAsiaTheme="minorHAnsi" w:hAnsi="Calibri" w:cs="Calibri"/>
          <w:b/>
          <w:bCs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</w:t>
      </w:r>
    </w:p>
    <w:p w14:paraId="2639198F" w14:textId="77777777" w:rsidR="00072CB5" w:rsidRDefault="00072CB5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</w:p>
    <w:p w14:paraId="1569AA0F" w14:textId="4906FE50" w:rsidR="005836C1" w:rsidRDefault="009979FD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</w:pPr>
      <w:r w:rsidRPr="00072CB5">
        <w:rPr>
          <w:rFonts w:ascii="Calibri" w:hAnsi="Calibri" w:cs="Calibri"/>
          <w:sz w:val="22"/>
          <w:szCs w:val="22"/>
          <w:lang w:val="it-IT"/>
        </w:rPr>
        <w:t xml:space="preserve">Come abbiamo detto in precedenza, prevediamo una dispersione dei rendimenti all’interno dell’asset class, data la variabilità della qualità del credito, del contesto politico e di altri fattori. Vediamo poco valore negli spread dei mercati emergenti investment grade (EM IG), con i </w:t>
      </w:r>
      <w:r w:rsidRPr="006911A6">
        <w:rPr>
          <w:rFonts w:ascii="Calibri" w:hAnsi="Calibri" w:cs="Calibri"/>
          <w:b/>
          <w:bCs/>
          <w:sz w:val="22"/>
          <w:szCs w:val="22"/>
          <w:lang w:val="it-IT"/>
        </w:rPr>
        <w:t>titoli sovrani e societari EM IG che scambiano entrambi vicino ai livelli post-</w:t>
      </w:r>
      <w:r w:rsidR="00873421"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crisi finanziaria globale </w:t>
      </w:r>
      <w:r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rispetto </w:t>
      </w:r>
      <w:r w:rsidR="00873421" w:rsidRPr="006911A6">
        <w:rPr>
          <w:rFonts w:ascii="Calibri" w:hAnsi="Calibri" w:cs="Calibri"/>
          <w:b/>
          <w:bCs/>
          <w:sz w:val="22"/>
          <w:szCs w:val="22"/>
          <w:lang w:val="it-IT"/>
        </w:rPr>
        <w:t>ai titoli investment grade</w:t>
      </w:r>
      <w:r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 statunitensi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. Vediamo tuttavia un valore nella duration </w:t>
      </w:r>
      <w:r w:rsidR="00873421">
        <w:rPr>
          <w:rFonts w:ascii="Calibri" w:hAnsi="Calibri" w:cs="Calibri"/>
          <w:sz w:val="22"/>
          <w:szCs w:val="22"/>
          <w:lang w:val="it-IT"/>
        </w:rPr>
        <w:t>dei titoli investment grade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 a lungo termine, dato il rafforzamento dei tassi. </w:t>
      </w:r>
      <w:r w:rsidRPr="006911A6">
        <w:rPr>
          <w:rFonts w:ascii="Calibri" w:hAnsi="Calibri" w:cs="Calibri"/>
          <w:b/>
          <w:bCs/>
          <w:sz w:val="22"/>
          <w:szCs w:val="22"/>
          <w:lang w:val="it-IT"/>
        </w:rPr>
        <w:t>Vediamo più valore nei mercati emergenti high yield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, in particolare perché le valutazioni sovrane </w:t>
      </w:r>
      <w:r w:rsidR="00873421">
        <w:rPr>
          <w:rFonts w:ascii="Calibri" w:hAnsi="Calibri" w:cs="Calibri"/>
          <w:sz w:val="22"/>
          <w:szCs w:val="22"/>
          <w:lang w:val="it-IT"/>
        </w:rPr>
        <w:t>di questi titoli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 sono ai livelli post-</w:t>
      </w:r>
      <w:r w:rsidR="00873421">
        <w:rPr>
          <w:rFonts w:ascii="Calibri" w:hAnsi="Calibri" w:cs="Calibri"/>
          <w:sz w:val="22"/>
          <w:szCs w:val="22"/>
          <w:lang w:val="it-IT"/>
        </w:rPr>
        <w:t>crisi finanziaria globale</w:t>
      </w:r>
      <w:r w:rsidR="00873421" w:rsidRPr="00072CB5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rispetto agli </w:t>
      </w:r>
      <w:r w:rsidR="00873421">
        <w:rPr>
          <w:rFonts w:ascii="Calibri" w:hAnsi="Calibri" w:cs="Calibri"/>
          <w:sz w:val="22"/>
          <w:szCs w:val="22"/>
          <w:lang w:val="it-IT"/>
        </w:rPr>
        <w:t>high yield</w:t>
      </w:r>
      <w:r w:rsidR="00873421" w:rsidRPr="00072CB5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statunitensi. In parte ciò è dovuto ai titoli sovrani a basso reddito che vengono scambiati a livelli di sofferenza, e quindi la differenziazione è fondamentale dato il potenziale rischio di default dei titoli sovrani a basso reddito. Attualmente </w:t>
      </w:r>
      <w:r w:rsidRPr="006911A6">
        <w:rPr>
          <w:rFonts w:ascii="Calibri" w:hAnsi="Calibri" w:cs="Calibri"/>
          <w:b/>
          <w:bCs/>
          <w:sz w:val="22"/>
          <w:szCs w:val="22"/>
          <w:lang w:val="it-IT"/>
        </w:rPr>
        <w:t>ci concentriamo sul segmento BB del mercato, che è sensibile al miglioramento delle dinamiche di crescita dei mercati emergenti e non è altrettanto soggetto a condizioni finanziarie più rigide.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836C1" w:rsidRPr="00072CB5"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  <w:t xml:space="preserve"> </w:t>
      </w:r>
    </w:p>
    <w:p w14:paraId="5DD22EBE" w14:textId="77777777" w:rsidR="00873421" w:rsidRPr="00072CB5" w:rsidRDefault="00873421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</w:pPr>
    </w:p>
    <w:p w14:paraId="137C53E6" w14:textId="6D3BCB77" w:rsidR="005836C1" w:rsidRPr="00072CB5" w:rsidRDefault="009979FD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  <w:r w:rsidRPr="00072CB5">
        <w:rPr>
          <w:rFonts w:ascii="Calibri" w:hAnsi="Calibri" w:cs="Calibri"/>
          <w:sz w:val="22"/>
          <w:szCs w:val="22"/>
          <w:lang w:val="it-IT"/>
        </w:rPr>
        <w:lastRenderedPageBreak/>
        <w:t xml:space="preserve">Le società </w:t>
      </w:r>
      <w:r w:rsidR="00873421">
        <w:rPr>
          <w:rFonts w:ascii="Calibri" w:hAnsi="Calibri" w:cs="Calibri"/>
          <w:sz w:val="22"/>
          <w:szCs w:val="22"/>
          <w:lang w:val="it-IT"/>
        </w:rPr>
        <w:t>emergenti high yield</w:t>
      </w:r>
      <w:r w:rsidR="00873421" w:rsidRPr="00072CB5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si collocano al centro della fascia di spread rispetto alle </w:t>
      </w:r>
      <w:r w:rsidR="00873421">
        <w:rPr>
          <w:rFonts w:ascii="Calibri" w:hAnsi="Calibri" w:cs="Calibri"/>
          <w:sz w:val="22"/>
          <w:szCs w:val="22"/>
          <w:lang w:val="it-IT"/>
        </w:rPr>
        <w:t>high yield</w:t>
      </w:r>
      <w:r w:rsidR="00873421" w:rsidRPr="00072CB5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statunitensi. In particolare, </w:t>
      </w:r>
      <w:r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dopo il </w:t>
      </w:r>
      <w:r w:rsidR="00873421" w:rsidRPr="006911A6">
        <w:rPr>
          <w:rFonts w:ascii="Calibri" w:hAnsi="Calibri" w:cs="Calibri"/>
          <w:b/>
          <w:bCs/>
          <w:sz w:val="22"/>
          <w:szCs w:val="22"/>
          <w:lang w:val="it-IT"/>
        </w:rPr>
        <w:t xml:space="preserve">Covid </w:t>
      </w:r>
      <w:r w:rsidRPr="006911A6">
        <w:rPr>
          <w:rFonts w:ascii="Calibri" w:hAnsi="Calibri" w:cs="Calibri"/>
          <w:b/>
          <w:bCs/>
          <w:sz w:val="22"/>
          <w:szCs w:val="22"/>
          <w:lang w:val="it-IT"/>
        </w:rPr>
        <w:t>le società dei mercati emergenti hanno ridotto la leva finanziaria a un ritmo molto più rapido rispetto ai loro omologhi statunitensi</w:t>
      </w:r>
      <w:r w:rsidRPr="00072CB5">
        <w:rPr>
          <w:rFonts w:ascii="Calibri" w:hAnsi="Calibri" w:cs="Calibri"/>
          <w:sz w:val="22"/>
          <w:szCs w:val="22"/>
          <w:lang w:val="it-IT"/>
        </w:rPr>
        <w:t xml:space="preserve">, il che ha spinto gli spread relativi per turno di leva finanziaria a livelli interessanti su base storica. </w:t>
      </w:r>
      <w:r w:rsidR="005836C1" w:rsidRPr="00072CB5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094FA41D" w14:textId="77777777" w:rsidR="00072CB5" w:rsidRDefault="00072CB5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Style w:val="Enfasigrassetto"/>
          <w:rFonts w:ascii="Calibri" w:hAnsi="Calibri" w:cs="Calibri"/>
          <w:sz w:val="22"/>
          <w:szCs w:val="22"/>
          <w:lang w:val="it-IT"/>
        </w:rPr>
      </w:pPr>
    </w:p>
    <w:p w14:paraId="62BA77BC" w14:textId="3BF38C06" w:rsidR="00782B7B" w:rsidRPr="006911A6" w:rsidRDefault="00C96DEF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Style w:val="Enfasigrassetto"/>
          <w:rFonts w:ascii="Calibri" w:eastAsiaTheme="minorHAnsi" w:hAnsi="Calibri" w:cs="Calibri"/>
          <w:kern w:val="2"/>
          <w:sz w:val="22"/>
          <w:szCs w:val="22"/>
          <w:shd w:val="clear" w:color="auto" w:fill="FFFFFF"/>
          <w:lang w:val="it-IT" w:eastAsia="en-US"/>
          <w14:ligatures w14:val="standardContextual"/>
        </w:rPr>
      </w:pPr>
      <w:r w:rsidRPr="006911A6">
        <w:rPr>
          <w:rStyle w:val="Enfasigrassetto"/>
          <w:rFonts w:ascii="Calibri" w:hAnsi="Calibri" w:cs="Calibri"/>
          <w:b w:val="0"/>
          <w:bCs w:val="0"/>
          <w:sz w:val="22"/>
          <w:szCs w:val="22"/>
          <w:lang w:val="it-IT"/>
        </w:rPr>
        <w:t>In conclusione</w:t>
      </w:r>
      <w:r w:rsidRPr="00072CB5">
        <w:rPr>
          <w:rStyle w:val="Enfasigrassetto"/>
          <w:rFonts w:ascii="Calibri" w:hAnsi="Calibri" w:cs="Calibri"/>
          <w:b w:val="0"/>
          <w:bCs w:val="0"/>
          <w:sz w:val="22"/>
          <w:szCs w:val="22"/>
          <w:lang w:val="it-IT"/>
        </w:rPr>
        <w:t xml:space="preserve">, nel breve termine, i dati economici statunitensi domineranno probabilmente il sentiment del mercato, il che probabilmente aumenterà la volatilità, ma potrebbe presentare opportunità di aggiungere rischio in caso di sell-off dei tassi. Nel medio-lungo termine, riteniamo che i mercati emergenti saranno sostenuti dalla ripresa della Cina e dai rendimenti interessanti rispetto ai dati storici. Tuttavia, </w:t>
      </w:r>
      <w:r w:rsidRPr="006911A6">
        <w:rPr>
          <w:rStyle w:val="Enfasigrassetto"/>
          <w:rFonts w:ascii="Calibri" w:hAnsi="Calibri" w:cs="Calibri"/>
          <w:sz w:val="22"/>
          <w:szCs w:val="22"/>
          <w:lang w:val="it-IT"/>
        </w:rPr>
        <w:t>la differenziazione all’interno dell’asset class rimane fondamentale alla luce delle variazioni di una serie di fattori, tra cui il contesto politico, la qualità del credito e la duration.</w:t>
      </w:r>
    </w:p>
    <w:p w14:paraId="6B321A1E" w14:textId="77777777" w:rsidR="00782B7B" w:rsidRPr="00072CB5" w:rsidRDefault="00782B7B" w:rsidP="00072CB5">
      <w:pPr>
        <w:pStyle w:val="p2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it-IT"/>
        </w:rPr>
      </w:pPr>
      <w:r w:rsidRPr="00072CB5">
        <w:rPr>
          <w:rFonts w:ascii="Calibri" w:hAnsi="Calibri" w:cs="Calibri"/>
          <w:sz w:val="22"/>
          <w:szCs w:val="22"/>
          <w:lang w:val="it-IT"/>
        </w:rPr>
        <w:t> </w:t>
      </w:r>
    </w:p>
    <w:p w14:paraId="12CF3F13" w14:textId="77777777" w:rsidR="00782B7B" w:rsidRPr="00072CB5" w:rsidRDefault="00782B7B" w:rsidP="00072CB5">
      <w:pPr>
        <w:shd w:val="clear" w:color="auto" w:fill="FFFFFF"/>
        <w:contextualSpacing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</w:p>
    <w:p w14:paraId="186E6467" w14:textId="485534E7" w:rsidR="00782B7B" w:rsidRPr="00072CB5" w:rsidRDefault="00782B7B" w:rsidP="00072CB5">
      <w:pPr>
        <w:shd w:val="clear" w:color="auto" w:fill="FFFFFF"/>
        <w:contextualSpacing/>
        <w:rPr>
          <w:rFonts w:ascii="Calibri" w:eastAsia="Times New Roman" w:hAnsi="Calibri" w:cs="Calibri"/>
          <w:kern w:val="0"/>
          <w:sz w:val="22"/>
          <w:szCs w:val="22"/>
          <w:lang w:val="it-IT" w:eastAsia="en-GB"/>
          <w14:ligatures w14:val="none"/>
        </w:rPr>
      </w:pPr>
    </w:p>
    <w:p w14:paraId="5427AA69" w14:textId="77777777" w:rsidR="006E49B2" w:rsidRPr="00072CB5" w:rsidRDefault="006E49B2" w:rsidP="00072CB5">
      <w:pPr>
        <w:contextualSpacing/>
        <w:rPr>
          <w:rFonts w:ascii="Calibri" w:hAnsi="Calibri" w:cs="Calibri"/>
          <w:sz w:val="22"/>
          <w:szCs w:val="22"/>
          <w:lang w:val="it-IT"/>
        </w:rPr>
      </w:pPr>
    </w:p>
    <w:sectPr w:rsidR="006E49B2" w:rsidRPr="00072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2FD"/>
    <w:multiLevelType w:val="multilevel"/>
    <w:tmpl w:val="97B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25232"/>
    <w:multiLevelType w:val="multilevel"/>
    <w:tmpl w:val="A6D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97C67"/>
    <w:multiLevelType w:val="hybridMultilevel"/>
    <w:tmpl w:val="B4F0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76691">
    <w:abstractNumId w:val="1"/>
  </w:num>
  <w:num w:numId="2" w16cid:durableId="430248544">
    <w:abstractNumId w:val="0"/>
  </w:num>
  <w:num w:numId="3" w16cid:durableId="5748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AE"/>
    <w:rsid w:val="00072CB5"/>
    <w:rsid w:val="000F72C0"/>
    <w:rsid w:val="001F1E0E"/>
    <w:rsid w:val="00212737"/>
    <w:rsid w:val="00521B08"/>
    <w:rsid w:val="005836C1"/>
    <w:rsid w:val="006911A6"/>
    <w:rsid w:val="006E49B2"/>
    <w:rsid w:val="0075341D"/>
    <w:rsid w:val="00782B7B"/>
    <w:rsid w:val="007E0F99"/>
    <w:rsid w:val="00873421"/>
    <w:rsid w:val="009979FD"/>
    <w:rsid w:val="009D497B"/>
    <w:rsid w:val="009F623F"/>
    <w:rsid w:val="00A90DAE"/>
    <w:rsid w:val="00BC4C71"/>
    <w:rsid w:val="00C96DEF"/>
    <w:rsid w:val="00F3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388D"/>
  <w15:chartTrackingRefBased/>
  <w15:docId w15:val="{8E7B9ACF-DD65-664D-813D-35717FF4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82B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82B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2B7B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782B7B"/>
    <w:rPr>
      <w:color w:val="0000FF"/>
      <w:u w:val="single"/>
    </w:rPr>
  </w:style>
  <w:style w:type="paragraph" w:customStyle="1" w:styleId="p2">
    <w:name w:val="p2"/>
    <w:basedOn w:val="Normale"/>
    <w:rsid w:val="00782B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nfasigrassetto">
    <w:name w:val="Strong"/>
    <w:basedOn w:val="Carpredefinitoparagrafo"/>
    <w:uiPriority w:val="22"/>
    <w:qFormat/>
    <w:rsid w:val="00782B7B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2B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e">
    <w:name w:val="Revision"/>
    <w:hidden/>
    <w:uiPriority w:val="99"/>
    <w:semiHidden/>
    <w:rsid w:val="0007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42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Denise Bosotti</cp:lastModifiedBy>
  <cp:revision>7</cp:revision>
  <dcterms:created xsi:type="dcterms:W3CDTF">2023-04-05T13:04:00Z</dcterms:created>
  <dcterms:modified xsi:type="dcterms:W3CDTF">2023-04-06T12:40:00Z</dcterms:modified>
</cp:coreProperties>
</file>