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ind w:left="240" w:firstLine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>16 marzo 2023</w:t>
      </w:r>
    </w:p>
    <w:p>
      <w:pPr>
        <w:pStyle w:val="Corpo"/>
        <w:ind w:left="240" w:firstLine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it-IT"/>
        </w:rPr>
        <w:t xml:space="preserve"> Conferenza straordinaria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b w:val="1"/>
          <w:bCs w:val="1"/>
          <w:sz w:val="26"/>
          <w:szCs w:val="26"/>
          <w:rtl w:val="0"/>
          <w:lang w:val="it-IT"/>
        </w:rPr>
        <w:t xml:space="preserve">OIBR (Organismo Italiano Business Reporting) </w:t>
      </w:r>
    </w:p>
    <w:p>
      <w:pPr>
        <w:pStyle w:val="Corpo"/>
        <w:spacing w:after="80"/>
        <w:ind w:left="240" w:firstLine="0"/>
        <w:jc w:val="center"/>
        <w:rPr>
          <w:b w:val="1"/>
          <w:bCs w:val="1"/>
          <w:outline w:val="0"/>
          <w:color w:val="fb0207"/>
          <w:sz w:val="36"/>
          <w:szCs w:val="36"/>
          <w:u w:color="fb0207"/>
          <w14:textFill>
            <w14:solidFill>
              <w14:srgbClr w14:val="FB0207"/>
            </w14:solidFill>
          </w14:textFill>
        </w:rPr>
      </w:pPr>
      <w:r>
        <w:rPr>
          <w:b w:val="1"/>
          <w:bCs w:val="1"/>
          <w:outline w:val="0"/>
          <w:color w:val="fb0207"/>
          <w:sz w:val="36"/>
          <w:szCs w:val="36"/>
          <w:u w:color="fb0207"/>
          <w:rtl w:val="0"/>
          <w:lang w:val="it-IT"/>
          <w14:textFill>
            <w14:solidFill>
              <w14:srgbClr w14:val="FB0207"/>
            </w14:solidFill>
          </w14:textFill>
        </w:rPr>
        <w:t xml:space="preserve">La </w:t>
      </w:r>
      <w:r>
        <w:rPr>
          <w:b w:val="1"/>
          <w:bCs w:val="1"/>
          <w:outline w:val="0"/>
          <w:color w:val="fb0207"/>
          <w:sz w:val="36"/>
          <w:szCs w:val="36"/>
          <w:u w:color="fb0207"/>
          <w:rtl w:val="0"/>
          <w:lang w:val="it-IT"/>
          <w14:textFill>
            <w14:solidFill>
              <w14:srgbClr w14:val="FB0207"/>
            </w14:solidFill>
          </w14:textFill>
        </w:rPr>
        <w:t>R</w:t>
      </w:r>
      <w:r>
        <w:rPr>
          <w:b w:val="1"/>
          <w:bCs w:val="1"/>
          <w:outline w:val="0"/>
          <w:color w:val="fb0207"/>
          <w:sz w:val="36"/>
          <w:szCs w:val="36"/>
          <w:u w:color="fb0207"/>
          <w:rtl w:val="0"/>
          <w:lang w:val="it-IT"/>
          <w14:textFill>
            <w14:solidFill>
              <w14:srgbClr w14:val="FB0207"/>
            </w14:solidFill>
          </w14:textFill>
        </w:rPr>
        <w:t xml:space="preserve">ivoluzione della </w:t>
      </w:r>
      <w:r>
        <w:rPr>
          <w:b w:val="1"/>
          <w:bCs w:val="1"/>
          <w:outline w:val="0"/>
          <w:color w:val="fb0207"/>
          <w:sz w:val="36"/>
          <w:szCs w:val="36"/>
          <w:u w:color="fb0207"/>
          <w:rtl w:val="0"/>
          <w:lang w:val="it-IT"/>
          <w14:textFill>
            <w14:solidFill>
              <w14:srgbClr w14:val="FB0207"/>
            </w14:solidFill>
          </w14:textFill>
        </w:rPr>
        <w:t>C</w:t>
      </w:r>
      <w:r>
        <w:rPr>
          <w:b w:val="1"/>
          <w:bCs w:val="1"/>
          <w:outline w:val="0"/>
          <w:color w:val="fb0207"/>
          <w:sz w:val="36"/>
          <w:szCs w:val="36"/>
          <w:u w:color="fb0207"/>
          <w:rtl w:val="0"/>
          <w:lang w:val="it-IT"/>
          <w14:textFill>
            <w14:solidFill>
              <w14:srgbClr w14:val="FB0207"/>
            </w14:solidFill>
          </w14:textFill>
        </w:rPr>
        <w:t>omunicazione ESG in Italia</w:t>
      </w:r>
    </w:p>
    <w:p>
      <w:pPr>
        <w:pStyle w:val="Corpo"/>
        <w:spacing w:after="80"/>
        <w:jc w:val="center"/>
        <w:rPr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sz w:val="28"/>
          <w:szCs w:val="28"/>
          <w:rtl w:val="0"/>
          <w:lang w:val="it-IT"/>
          <w14:textFill>
            <w14:solidFill>
              <w14:srgbClr w14:val="0433FF"/>
            </w14:solidFill>
          </w14:textFill>
        </w:rPr>
        <w:t>Produrre, consumare, lavorare e governare con criteri ESG in Italia</w:t>
      </w:r>
    </w:p>
    <w:p>
      <w:pPr>
        <w:pStyle w:val="Corpo"/>
        <w:spacing w:after="80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Aspettando il Congresso annuale </w:t>
      </w:r>
      <w:r>
        <w:rPr>
          <w:i w:val="1"/>
          <w:iCs w:val="1"/>
          <w:sz w:val="26"/>
          <w:szCs w:val="26"/>
          <w:rtl w:val="0"/>
          <w:lang w:val="en-US"/>
        </w:rPr>
        <w:t>Future Respect</w:t>
      </w:r>
      <w:r>
        <w:rPr>
          <w:sz w:val="26"/>
          <w:szCs w:val="26"/>
          <w:rtl w:val="0"/>
          <w:lang w:val="it-IT"/>
        </w:rPr>
        <w:t>, analisi della realt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>operativa e strutturale italiana e dell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it-IT"/>
        </w:rPr>
        <w:t>informazione di sostenibilit</w:t>
      </w:r>
      <w:r>
        <w:rPr>
          <w:sz w:val="26"/>
          <w:szCs w:val="26"/>
          <w:rtl w:val="0"/>
          <w:lang w:val="fr-FR"/>
        </w:rPr>
        <w:t xml:space="preserve">à </w:t>
      </w:r>
      <w:r>
        <w:rPr>
          <w:sz w:val="26"/>
          <w:szCs w:val="26"/>
          <w:rtl w:val="0"/>
          <w:lang w:val="it-IT"/>
        </w:rPr>
        <w:t>nel contesto operativo e strutturale delle imprese italiane</w:t>
      </w:r>
    </w:p>
    <w:p>
      <w:pPr>
        <w:pStyle w:val="Corpo"/>
        <w:rPr>
          <w:sz w:val="18"/>
          <w:szCs w:val="18"/>
        </w:rPr>
      </w:pPr>
    </w:p>
    <w:p>
      <w:pPr>
        <w:pStyle w:val="Corpo"/>
        <w:jc w:val="center"/>
      </w:pPr>
      <w:r>
        <w:rPr>
          <w:b w:val="1"/>
          <w:bCs w:val="1"/>
          <w:rtl w:val="0"/>
          <w:lang w:val="it-IT"/>
        </w:rPr>
        <w:t>Intervengono</w:t>
      </w:r>
      <w:r>
        <w:rPr>
          <w:rtl w:val="0"/>
          <w:lang w:val="it-IT"/>
        </w:rPr>
        <w:t>: Alberto Gusmeroli, Presidente, X Commissione 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Produttive, Commercio e Turismo, Camera dei Deputati; Alessandro Lai, Presidente, Fondazione O.I.B.R. e Ordinario di Economia Aziendale, Universit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 Verona; Francesco Tamburella, Coordinatore ConsumerLab, e componente del Forum per lo Sviluppo Sostenibile; Micol Rigo, Vice-Direttrice RAI per la Sostenibilit</w:t>
      </w:r>
      <w:r>
        <w:rPr>
          <w:rtl w:val="0"/>
        </w:rPr>
        <w:t>à–</w:t>
      </w:r>
      <w:r>
        <w:rPr>
          <w:rtl w:val="0"/>
          <w:lang w:val="it-IT"/>
        </w:rPr>
        <w:t>ESG, RAI; Claudia Pasquini, Responsabile, Ufficio Rischi, Controlli e Sostenibilit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, ABI; Lino Cinquini, Presidente, Comitato Scientifico, Fondazione O.I.B.R., e Ordinario di Economia Aziendale, Scuola Universitaria Superiore Sant</w:t>
      </w:r>
      <w:r>
        <w:rPr>
          <w:rtl w:val="0"/>
        </w:rPr>
        <w:t>’</w:t>
      </w:r>
      <w:r>
        <w:rPr>
          <w:rtl w:val="0"/>
          <w:lang w:val="it-IT"/>
        </w:rPr>
        <w:t>Anna di Pisa</w:t>
      </w:r>
    </w:p>
    <w:p>
      <w:pPr>
        <w:pStyle w:val="Corpo"/>
        <w:jc w:val="center"/>
        <w:rPr>
          <w:sz w:val="18"/>
          <w:szCs w:val="18"/>
        </w:rPr>
      </w:pPr>
    </w:p>
    <w:p>
      <w:pPr>
        <w:pStyle w:val="Co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Gioved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 xml:space="preserve">16 marzo 2023, ore 15.00-17.30 - Stadio di Domiziano, Via di Tor Sanguigna 3 (Piazza Navona), Roma </w:t>
      </w:r>
    </w:p>
    <w:p>
      <w:pPr>
        <w:pStyle w:val="Corpo"/>
      </w:pPr>
    </w:p>
    <w:p>
      <w:pPr>
        <w:pStyle w:val="Corpo"/>
        <w:jc w:val="both"/>
        <w:rPr>
          <w:b w:val="1"/>
          <w:bCs w:val="1"/>
        </w:rPr>
      </w:pPr>
      <w:r>
        <w:rPr>
          <w:rtl w:val="0"/>
          <w:lang w:val="it-IT"/>
        </w:rPr>
        <w:t>A distanza di 12 mesi dall</w:t>
      </w:r>
      <w:r>
        <w:rPr>
          <w:rtl w:val="0"/>
        </w:rPr>
        <w:t>’</w:t>
      </w:r>
      <w:r>
        <w:rPr>
          <w:rtl w:val="0"/>
          <w:lang w:val="it-IT"/>
        </w:rPr>
        <w:t xml:space="preserve">inserimento nella </w:t>
      </w:r>
      <w:r>
        <w:rPr>
          <w:b w:val="1"/>
          <w:bCs w:val="1"/>
          <w:rtl w:val="0"/>
          <w:lang w:val="it-IT"/>
        </w:rPr>
        <w:t>nostra Costituzione del principio della giustizia intergenerazionale connessa alla tutela dell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s-ES_tradnl"/>
        </w:rPr>
        <w:t>ambiente</w:t>
      </w:r>
      <w:r>
        <w:rPr>
          <w:rtl w:val="0"/>
          <w:lang w:val="it-IT"/>
        </w:rPr>
        <w:t xml:space="preserve"> con l</w:t>
      </w:r>
      <w:r>
        <w:rPr>
          <w:rtl w:val="0"/>
        </w:rPr>
        <w:t>’</w:t>
      </w:r>
      <w:r>
        <w:rPr>
          <w:rtl w:val="0"/>
          <w:lang w:val="it-IT"/>
        </w:rPr>
        <w:t xml:space="preserve">implementazione degli articoli 9 e 41, arriva </w:t>
      </w:r>
      <w:r>
        <w:rPr>
          <w:b w:val="1"/>
          <w:bCs w:val="1"/>
          <w:rtl w:val="0"/>
          <w:lang w:val="it-IT"/>
        </w:rPr>
        <w:t xml:space="preserve">dall'Europa la nuova direttiva in materia di raggiungimento degli ESG </w:t>
      </w:r>
      <w:r>
        <w:rPr>
          <w:b w:val="1"/>
          <w:bCs w:val="1"/>
          <w:u w:color="222222"/>
          <w:rtl w:val="0"/>
          <w:lang w:val="it-IT"/>
        </w:rPr>
        <w:t>sul Reporting di Sostenibilit</w:t>
      </w:r>
      <w:r>
        <w:rPr>
          <w:b w:val="1"/>
          <w:bCs w:val="1"/>
          <w:u w:color="222222"/>
          <w:rtl w:val="0"/>
          <w:lang w:val="fr-FR"/>
        </w:rPr>
        <w:t>à</w:t>
      </w:r>
      <w:r>
        <w:rPr>
          <w:u w:color="222222"/>
          <w:rtl w:val="0"/>
          <w:lang w:val="it-IT"/>
        </w:rPr>
        <w:t xml:space="preserve"> destinata anche a medie imprese di tutta la filiera, produttive e commerciale</w:t>
      </w:r>
      <w:r>
        <w:rPr>
          <w:rtl w:val="0"/>
          <w:lang w:val="it-IT"/>
        </w:rPr>
        <w:t xml:space="preserve">: ma </w:t>
      </w:r>
      <w:r>
        <w:rPr>
          <w:b w:val="1"/>
          <w:bCs w:val="1"/>
          <w:rtl w:val="0"/>
          <w:lang w:val="it-IT"/>
        </w:rPr>
        <w:t>in quale contesto si pongono in Italia queste direttive?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A che punto sono le PMI</w:t>
      </w:r>
      <w:r>
        <w:rPr>
          <w:rtl w:val="0"/>
          <w:lang w:val="it-IT"/>
        </w:rPr>
        <w:t xml:space="preserve"> e le aziende italiane? Come hanno recepito le linee guida gi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presenti e </w:t>
      </w:r>
      <w:r>
        <w:rPr>
          <w:b w:val="1"/>
          <w:bCs w:val="1"/>
          <w:rtl w:val="0"/>
          <w:lang w:val="it-IT"/>
        </w:rPr>
        <w:t>come potranno recepire le nuove?</w:t>
      </w:r>
      <w:r>
        <w:rPr>
          <w:rtl w:val="0"/>
          <w:lang w:val="pt-PT"/>
        </w:rPr>
        <w:t xml:space="preserve"> Qual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lo </w:t>
      </w:r>
      <w:r>
        <w:rPr>
          <w:b w:val="1"/>
          <w:bCs w:val="1"/>
          <w:rtl w:val="0"/>
          <w:lang w:val="it-IT"/>
        </w:rPr>
        <w:t>stato dell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it-IT"/>
        </w:rPr>
        <w:t>arte nel nostro paese rispetto al raggiungimento degli obiettivi climatici?</w:t>
      </w:r>
      <w:r>
        <w:rPr>
          <w:rtl w:val="0"/>
          <w:lang w:val="it-IT"/>
        </w:rPr>
        <w:t xml:space="preserve"> Quale concreto effetto avr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questa direttiva dal momento in cui </w:t>
      </w:r>
      <w:r>
        <w:rPr>
          <w:b w:val="1"/>
          <w:bCs w:val="1"/>
          <w:rtl w:val="0"/>
        </w:rPr>
        <w:t>verr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it-IT"/>
        </w:rPr>
        <w:t>ratificata del Governo Italiano?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Numeri e statistiche alla mano, se ne parler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il </w:t>
      </w:r>
      <w:r>
        <w:rPr>
          <w:b w:val="1"/>
          <w:bCs w:val="1"/>
          <w:rtl w:val="0"/>
          <w:lang w:val="it-IT"/>
        </w:rPr>
        <w:t>16 marzo 2023 presso lo Stadio Domiziano di Roma</w:t>
      </w:r>
      <w:r>
        <w:rPr>
          <w:rtl w:val="0"/>
          <w:lang w:val="it-IT"/>
        </w:rPr>
        <w:t xml:space="preserve"> in occasione della conferenza straordinaria di OIBR (Organismo Italiano Business Reporting) </w:t>
      </w:r>
      <w:r>
        <w:rPr>
          <w:rtl w:val="0"/>
        </w:rPr>
        <w:t>“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it-IT"/>
        </w:rPr>
        <w:t>informazione di sostenibilit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it-IT"/>
        </w:rPr>
        <w:t>nel contesto operativo e strutturale delle imprese italiane: i processi di cambiamento con particolare riguardo alle PMI</w:t>
      </w:r>
      <w:r>
        <w:rPr>
          <w:rtl w:val="0"/>
        </w:rPr>
        <w:t>”</w:t>
      </w:r>
      <w:r>
        <w:rPr>
          <w:rtl w:val="0"/>
        </w:rPr>
        <w:t xml:space="preserve">.  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Aspettando il Congresso FUTURE RESPECT di </w:t>
      </w:r>
      <w:r>
        <w:rPr>
          <w:b w:val="1"/>
          <w:bCs w:val="1"/>
          <w:rtl w:val="0"/>
          <w:lang w:val="it-IT"/>
        </w:rPr>
        <w:t>m</w:t>
      </w:r>
      <w:r>
        <w:rPr>
          <w:b w:val="1"/>
          <w:bCs w:val="1"/>
          <w:rtl w:val="0"/>
          <w:lang w:val="it-IT"/>
        </w:rPr>
        <w:t xml:space="preserve">aggio, </w:t>
      </w:r>
      <w:r>
        <w:rPr>
          <w:b w:val="1"/>
          <w:bCs w:val="1"/>
          <w:rtl w:val="0"/>
          <w:lang w:val="it-IT"/>
        </w:rPr>
        <w:t>la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conferenza</w:t>
      </w:r>
      <w:r>
        <w:rPr>
          <w:b w:val="1"/>
          <w:bCs w:val="1"/>
          <w:rtl w:val="0"/>
          <w:lang w:val="it-IT"/>
        </w:rPr>
        <w:t xml:space="preserve"> straordinari</w:t>
      </w:r>
      <w:r>
        <w:rPr>
          <w:b w:val="1"/>
          <w:bCs w:val="1"/>
          <w:rtl w:val="0"/>
          <w:lang w:val="it-IT"/>
        </w:rPr>
        <w:t xml:space="preserve">a </w:t>
      </w:r>
      <w:r>
        <w:rPr>
          <w:b w:val="1"/>
          <w:bCs w:val="1"/>
          <w:rtl w:val="0"/>
          <w:lang w:val="it-IT"/>
        </w:rPr>
        <w:t>del 16 marzo intende illustrare e discutere il nuovo quadro normativo europeo dell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pt-PT"/>
        </w:rPr>
        <w:t>informativa ESG,</w:t>
      </w:r>
      <w:r>
        <w:rPr>
          <w:rtl w:val="0"/>
          <w:lang w:val="it-IT"/>
        </w:rPr>
        <w:t xml:space="preserve"> le sue profonde conseguenze per le aziende italiane, specie se PMI, per le loro strategie, i loro equilibri economico-finanziari e </w:t>
      </w:r>
      <w:r>
        <w:rPr>
          <w:rtl w:val="0"/>
        </w:rPr>
        <w:t>“</w:t>
      </w:r>
      <w:r>
        <w:rPr>
          <w:rtl w:val="0"/>
          <w:lang w:val="it-IT"/>
        </w:rPr>
        <w:t>nuovo</w:t>
      </w:r>
      <w:r>
        <w:rPr>
          <w:rtl w:val="0"/>
        </w:rPr>
        <w:t xml:space="preserve">” </w:t>
      </w:r>
      <w:r>
        <w:rPr>
          <w:rtl w:val="0"/>
          <w:lang w:val="it-IT"/>
        </w:rPr>
        <w:t xml:space="preserve">futuro per accendere un </w:t>
      </w:r>
      <w:r>
        <w:rPr>
          <w:b w:val="1"/>
          <w:bCs w:val="1"/>
          <w:rtl w:val="0"/>
          <w:lang w:val="it-IT"/>
        </w:rPr>
        <w:t>cono di luce sulla fattibilit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it-IT"/>
        </w:rPr>
        <w:t>e sulla capacit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it-IT"/>
        </w:rPr>
        <w:t>di ricezione delle direttive da parte delle aziende stesse</w:t>
      </w:r>
      <w:r>
        <w:rPr>
          <w:rtl w:val="0"/>
          <w:lang w:val="it-IT"/>
        </w:rPr>
        <w:t xml:space="preserve">, per analizzare gli </w:t>
      </w:r>
      <w:r>
        <w:rPr>
          <w:b w:val="1"/>
          <w:bCs w:val="1"/>
          <w:rtl w:val="0"/>
          <w:lang w:val="it-IT"/>
        </w:rPr>
        <w:t>scenari presenti e proporre soluzioni concrete per quelli futuri.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  <w:u w:color="326599"/>
        </w:rPr>
      </w:pPr>
      <w:r>
        <w:rPr>
          <w:rtl w:val="0"/>
        </w:rPr>
        <w:t>“</w:t>
      </w:r>
      <w:r>
        <w:rPr>
          <w:rtl w:val="0"/>
          <w:lang w:val="it-IT"/>
        </w:rPr>
        <w:t>L'adozione di criteri ESG nel sistema della 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produttive italiane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ancora arretrato e inadeguato</w:t>
      </w:r>
      <w:r>
        <w:rPr>
          <w:rtl w:val="0"/>
        </w:rPr>
        <w:t xml:space="preserve">” </w:t>
      </w:r>
      <w:r>
        <w:rPr>
          <w:b w:val="1"/>
          <w:bCs w:val="1"/>
          <w:rtl w:val="0"/>
          <w:lang w:val="it-IT"/>
        </w:rPr>
        <w:t>spiega Francesco Tamburella fondatore Future Respect, Coordinatore ConsumerLab e Componente Forum per lo Sviluppo Sostenibile - Ministero dell'Ambiente</w:t>
      </w:r>
      <w:r>
        <w:rPr>
          <w:rtl w:val="0"/>
        </w:rPr>
        <w:t xml:space="preserve">. </w:t>
      </w:r>
      <w:r>
        <w:rPr>
          <w:rtl w:val="0"/>
        </w:rPr>
        <w:t>“</w:t>
      </w:r>
      <w:r>
        <w:rPr>
          <w:rtl w:val="0"/>
          <w:lang w:val="it-IT"/>
        </w:rPr>
        <w:t>I Cittadini Consumatori sono poco informati, non incidono abbastanza, con le loro scelte di acquisto, sulla conformit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dei comportamenti delle Imprese verso gli Obiettivi di Sviluppo Sostenibile indicati dall'ONU per il 2030; i</w:t>
      </w:r>
      <w:r>
        <w:rPr>
          <w:u w:color="211d1e"/>
          <w:rtl w:val="0"/>
          <w:lang w:val="it-IT"/>
        </w:rPr>
        <w:t>n sintesi numeri e fatti documentano il rallentamento, in alcuni casi la stagnazione, del mercato nei riguardi della trasformazione sostenibile delle Imprese</w:t>
      </w:r>
      <w:r>
        <w:rPr>
          <w:rtl w:val="0"/>
        </w:rPr>
        <w:t xml:space="preserve">. </w:t>
      </w:r>
      <w:r>
        <w:rPr>
          <w:u w:color="231f20"/>
          <w:rtl w:val="0"/>
          <w:lang w:val="it-IT"/>
        </w:rPr>
        <w:t>Il nuovo quadro normativo europeo sul Reporting di Sostenibilit</w:t>
      </w:r>
      <w:r>
        <w:rPr>
          <w:u w:color="231f20"/>
          <w:rtl w:val="0"/>
          <w:lang w:val="fr-FR"/>
        </w:rPr>
        <w:t>à</w:t>
      </w:r>
      <w:r>
        <w:rPr>
          <w:u w:color="231f20"/>
          <w:rtl w:val="0"/>
          <w:lang w:val="it-IT"/>
        </w:rPr>
        <w:t xml:space="preserve">, delineato dalla Direttiva appena pubblicata, </w:t>
      </w:r>
      <w:r>
        <w:rPr>
          <w:u w:color="231f20"/>
          <w:rtl w:val="0"/>
          <w:lang w:val="it-IT"/>
        </w:rPr>
        <w:t xml:space="preserve">è </w:t>
      </w:r>
      <w:r>
        <w:rPr>
          <w:u w:color="231f20"/>
          <w:rtl w:val="0"/>
          <w:lang w:val="it-IT"/>
        </w:rPr>
        <w:t xml:space="preserve">tanto complesso quanto stringente. Ogni sistema Paese </w:t>
      </w:r>
      <w:r>
        <w:rPr>
          <w:u w:color="231f20"/>
          <w:rtl w:val="0"/>
          <w:lang w:val="it-IT"/>
        </w:rPr>
        <w:t xml:space="preserve">è </w:t>
      </w:r>
      <w:r>
        <w:rPr>
          <w:u w:color="231f20"/>
          <w:rtl w:val="0"/>
          <w:lang w:val="it-IT"/>
        </w:rPr>
        <w:t xml:space="preserve">impegnato a procedere con tempi definiti e metodi puntuali. </w:t>
      </w:r>
      <w:r>
        <w:rPr>
          <w:u w:color="211d1e"/>
          <w:rtl w:val="0"/>
          <w:lang w:val="it-IT"/>
        </w:rPr>
        <w:t>Entro tre anni oltre 4.000 Imprese italiane dovranno adeguarsi con tutte le rispettive filiere. D</w:t>
      </w:r>
      <w:r>
        <w:rPr>
          <w:rtl w:val="0"/>
          <w:lang w:val="it-IT"/>
        </w:rPr>
        <w:t>elle 2.500 principali societ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italiane dell'Indice Mediobanca neanche un terzo pubblica il Bilancio di Sostenibilt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; un'altro terzo non parla di sostenibilit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nella propria comunicazione</w:t>
      </w:r>
      <w:r>
        <w:rPr>
          <w:rtl w:val="0"/>
        </w:rPr>
        <w:t>”</w:t>
      </w:r>
      <w:r>
        <w:rPr>
          <w:rtl w:val="0"/>
        </w:rPr>
        <w:t>.</w:t>
      </w:r>
      <w:r>
        <w:rPr>
          <w:b w:val="1"/>
          <w:bCs w:val="1"/>
          <w:u w:color="326599"/>
          <w:rtl w:val="0"/>
        </w:rPr>
        <w:t xml:space="preserve"> </w:t>
      </w:r>
    </w:p>
    <w:p>
      <w:pPr>
        <w:pStyle w:val="Corpo"/>
        <w:jc w:val="both"/>
        <w:rPr>
          <w:b w:val="1"/>
          <w:bCs w:val="1"/>
          <w:u w:color="326599"/>
        </w:rPr>
      </w:pPr>
    </w:p>
    <w:p>
      <w:pPr>
        <w:pStyle w:val="Corpo"/>
        <w:jc w:val="both"/>
        <w:rPr>
          <w:b w:val="1"/>
          <w:bCs w:val="1"/>
          <w:u w:color="211d1e"/>
        </w:rPr>
      </w:pPr>
      <w:r>
        <w:rPr>
          <w:b w:val="1"/>
          <w:bCs w:val="1"/>
          <w:u w:color="326599"/>
          <w:rtl w:val="0"/>
        </w:rPr>
        <w:t>“</w:t>
      </w:r>
      <w:r>
        <w:rPr>
          <w:u w:color="211d1e"/>
          <w:rtl w:val="0"/>
          <w:lang w:val="it-IT"/>
        </w:rPr>
        <w:t>L'analisi della realt</w:t>
      </w:r>
      <w:r>
        <w:rPr>
          <w:u w:color="211d1e"/>
          <w:rtl w:val="0"/>
          <w:lang w:val="fr-FR"/>
        </w:rPr>
        <w:t xml:space="preserve">à </w:t>
      </w:r>
      <w:r>
        <w:rPr>
          <w:u w:color="211d1e"/>
          <w:rtl w:val="0"/>
          <w:lang w:val="it-IT"/>
        </w:rPr>
        <w:t>operativa e strutturale italiana faciliter</w:t>
      </w:r>
      <w:r>
        <w:rPr>
          <w:u w:color="211d1e"/>
          <w:rtl w:val="0"/>
          <w:lang w:val="fr-FR"/>
        </w:rPr>
        <w:t xml:space="preserve">à </w:t>
      </w:r>
      <w:r>
        <w:rPr>
          <w:u w:color="211d1e"/>
          <w:rtl w:val="0"/>
          <w:lang w:val="it-IT"/>
        </w:rPr>
        <w:t>le Imprese, sopratutto PMI, prima ad avere riferimenti concreti per avviare la trasformazione sostenibile per poter poi fornire informazioni con la massima efficacia, concretezza e realismo</w:t>
      </w:r>
      <w:r>
        <w:rPr>
          <w:u w:color="211d1e"/>
          <w:rtl w:val="0"/>
        </w:rPr>
        <w:t xml:space="preserve">” </w:t>
      </w:r>
      <w:r>
        <w:rPr>
          <w:b w:val="1"/>
          <w:bCs w:val="1"/>
          <w:u w:color="211d1e"/>
          <w:rtl w:val="0"/>
          <w:lang w:val="en-US"/>
        </w:rPr>
        <w:t>conclud</w:t>
      </w:r>
      <w:r>
        <w:rPr>
          <w:b w:val="1"/>
          <w:bCs w:val="1"/>
          <w:u w:color="211d1e"/>
          <w:rtl w:val="0"/>
          <w:lang w:val="it-IT"/>
        </w:rPr>
        <w:t>e</w:t>
      </w:r>
      <w:r>
        <w:rPr>
          <w:b w:val="1"/>
          <w:bCs w:val="1"/>
          <w:u w:color="211d1e"/>
          <w:rtl w:val="0"/>
        </w:rPr>
        <w:t xml:space="preserve"> </w:t>
      </w:r>
      <w:r>
        <w:rPr>
          <w:b w:val="1"/>
          <w:bCs w:val="1"/>
          <w:rtl w:val="0"/>
          <w:lang w:val="it-IT"/>
        </w:rPr>
        <w:t>Paolo Bacciga, Vicepresidente, Fondazione O.I.B.R</w:t>
      </w:r>
      <w:r>
        <w:rPr>
          <w:b w:val="1"/>
          <w:bCs w:val="1"/>
          <w:u w:color="211d1e"/>
          <w:rtl w:val="0"/>
        </w:rPr>
        <w:t>.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 xml:space="preserve">La conferenza </w:t>
      </w:r>
      <w:r>
        <w:rPr>
          <w:rtl w:val="0"/>
          <w:lang w:val="it-IT"/>
        </w:rPr>
        <w:t>straordinari</w:t>
      </w:r>
      <w:r>
        <w:rPr>
          <w:rtl w:val="0"/>
          <w:lang w:val="it-IT"/>
        </w:rPr>
        <w:t>a</w:t>
      </w:r>
      <w:r>
        <w:rPr>
          <w:rtl w:val="0"/>
          <w:lang w:val="it-IT"/>
        </w:rPr>
        <w:t xml:space="preserve"> offrir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una panoramica del nuovo quadro normativo europeo e delle conseguenze per le imprese italiane, presenter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it-IT"/>
        </w:rPr>
        <w:t xml:space="preserve">anteprima della tesi congressuale </w:t>
      </w:r>
      <w:r>
        <w:rPr>
          <w:rtl w:val="0"/>
        </w:rPr>
        <w:t>“</w:t>
      </w:r>
      <w:r>
        <w:rPr>
          <w:rtl w:val="0"/>
          <w:lang w:val="it-IT"/>
        </w:rPr>
        <w:t>Future Respect 2023: Produrre, consumare, lavorare e governare con criteri ESG: analisi della realt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operativa e strutturale italiana</w:t>
      </w:r>
      <w:r>
        <w:rPr>
          <w:rtl w:val="0"/>
        </w:rPr>
        <w:t xml:space="preserve">” </w:t>
      </w:r>
      <w:r>
        <w:rPr>
          <w:rtl w:val="0"/>
          <w:lang w:val="it-IT"/>
        </w:rPr>
        <w:t>e metter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a confronto scenari e criteri nella tavola rotonda su </w:t>
      </w:r>
      <w:r>
        <w:rPr>
          <w:rtl w:val="0"/>
        </w:rPr>
        <w:t>“</w:t>
      </w:r>
      <w:r>
        <w:rPr>
          <w:rtl w:val="0"/>
          <w:lang w:val="it-IT"/>
        </w:rPr>
        <w:t>Sostenibilit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e trasformazioni nelle imprese italiane: reporting, strategia e creazione di valore</w:t>
      </w:r>
      <w:r>
        <w:rPr>
          <w:rtl w:val="0"/>
        </w:rPr>
        <w:t>”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A parlarne saranno alcuni degli stakeholder e dei massimi esperti in materia italiani, con l</w:t>
      </w:r>
      <w:r>
        <w:rPr>
          <w:rtl w:val="0"/>
        </w:rPr>
        <w:t>’</w:t>
      </w:r>
      <w:r>
        <w:rPr>
          <w:rtl w:val="0"/>
          <w:lang w:val="it-IT"/>
        </w:rPr>
        <w:t>intervento di istituzioni e aziende: Alessandro Lai, Presidente, Fondazione O.I.B.R., e Ordinario di Economia Aziendale, Universit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 Verona; Alberto Gusmeroli, Presidente, X Commissione Attivit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Produttive, Commercio e Turismo, Camera dei Deputati, Stefano Zambon, Segretario Generale, Fondazione O.I.B.R., e Ordinario di Economia Aziendale, Universit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 Ferrara, Francesco Tamburella, Coordinatore ConsumerLab, e componente del Forum per lo Sviluppo Sostenibile,    Paolo Bacciga, Vicepresidente, Fondazione O.I.B.R. Andrea Di Segni, Managing Director, Morrow Sodali, Micol Rigo, Vice-Direttrice RAI per la Sostenibilit</w:t>
      </w:r>
      <w:r>
        <w:rPr>
          <w:rtl w:val="0"/>
        </w:rPr>
        <w:t>à–</w:t>
      </w:r>
      <w:r>
        <w:rPr>
          <w:rtl w:val="0"/>
          <w:lang w:val="it-IT"/>
        </w:rPr>
        <w:t>ESG, RAI, Marco Maffei, Partner, KPMG, Claudia Pasquini, Responsabile, Ufficio Rischi, Controlli e Sostenibilit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, ABI, Lino Cinquini, Presidente, Comitato Scientifico, Fondazione O.I.B.R., e Ordinario di Economia Aziendale, Scuola Universitaria Superiore Sant</w:t>
      </w:r>
      <w:r>
        <w:rPr>
          <w:rtl w:val="0"/>
        </w:rPr>
        <w:t>’</w:t>
      </w:r>
      <w:r>
        <w:rPr>
          <w:rtl w:val="0"/>
          <w:lang w:val="it-IT"/>
        </w:rPr>
        <w:t>Anna di Pisa</w:t>
      </w:r>
    </w:p>
    <w:p>
      <w:pPr>
        <w:pStyle w:val="Corpo"/>
        <w:jc w:val="both"/>
      </w:pPr>
    </w:p>
    <w:p>
      <w:pPr>
        <w:pStyle w:val="Corpo"/>
        <w:jc w:val="center"/>
        <w:rPr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Stadio di Domiziano, Via di Tor Sanguigna 3 (Piazza Navona), Roma</w:t>
      </w:r>
    </w:p>
    <w:p>
      <w:pPr>
        <w:pStyle w:val="Corpo"/>
        <w:jc w:val="center"/>
        <w:rPr>
          <w:rStyle w:val="Nessuno"/>
          <w:outline w:val="0"/>
          <w:color w:val="fc2607"/>
          <w:u w:color="fc2607"/>
          <w14:textFill>
            <w14:solidFill>
              <w14:srgbClr w14:val="FC2607"/>
            </w14:solidFill>
          </w14:textFill>
        </w:rPr>
      </w:pPr>
      <w:r>
        <w:rPr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gioved</w:t>
      </w:r>
      <w:r>
        <w:rPr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ì </w:t>
      </w:r>
      <w:r>
        <w:rPr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16 marzo 2023, ore 15.00-17.30</w:t>
      </w:r>
      <w:r>
        <w:rPr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. </w:t>
      </w:r>
      <w:r>
        <w:rPr>
          <w:u w:color="fc2607"/>
          <w:rtl w:val="0"/>
          <w:lang w:val="it-IT"/>
        </w:rPr>
        <w:t>Info su</w:t>
      </w:r>
      <w:r>
        <w:rPr>
          <w:u w:color="fc2607"/>
          <w:rtl w:val="0"/>
        </w:rPr>
        <w:t>:</w:t>
      </w:r>
      <w:r>
        <w:rPr>
          <w:outline w:val="0"/>
          <w:color w:val="fc2607"/>
          <w:u w:color="fc2607"/>
          <w:rtl w:val="0"/>
          <w14:textFill>
            <w14:solidFill>
              <w14:srgbClr w14:val="FC2607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"https://www.consumerlab.it/conferenza-straordinaria-informazione-di-sostenibilita/"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https://www.consumerlab.it/conferenza-straordinaria-informazione-di-sostenibilita/</w:t>
      </w:r>
      <w:r>
        <w:rPr/>
        <w:fldChar w:fldCharType="end" w:fldLock="0"/>
      </w:r>
    </w:p>
    <w:p>
      <w:pPr>
        <w:pStyle w:val="Corpo"/>
        <w:jc w:val="center"/>
        <w:rPr>
          <w:outline w:val="0"/>
          <w:color w:val="1155cc"/>
          <w:sz w:val="17"/>
          <w:szCs w:val="17"/>
          <w:u w:val="single" w:color="1155cc"/>
          <w14:textFill>
            <w14:solidFill>
              <w14:srgbClr w14:val="1155CC"/>
            </w14:solidFill>
          </w14:textFill>
        </w:rPr>
      </w:pPr>
    </w:p>
    <w:p>
      <w:pPr>
        <w:pStyle w:val="Corpo"/>
        <w:jc w:val="center"/>
        <w:rPr>
          <w:rStyle w:val="Hyperlink.1"/>
        </w:rPr>
      </w:pPr>
      <w:r>
        <w:rPr>
          <w:rStyle w:val="Nessuno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Ufficio stampa HF4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"https://mailstat.us/tr/t/rsddqv5qlesf90qk/b/http://www.hf4.it/"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www.hf4.it</w:t>
      </w:r>
      <w:r>
        <w:rPr/>
        <w:fldChar w:fldCharType="end" w:fldLock="0"/>
      </w:r>
    </w:p>
    <w:p>
      <w:pPr>
        <w:pStyle w:val="Corpo"/>
        <w:jc w:val="center"/>
        <w:rPr>
          <w:rStyle w:val="Nessuno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Marta Volterra </w:t>
      </w:r>
      <w:r>
        <w:rPr>
          <w:rStyle w:val="Nessuno"/>
          <w:outline w:val="0"/>
          <w:color w:val="1155cc"/>
          <w:u w:color="1155cc"/>
          <w:shd w:val="clear" w:color="auto" w:fill="ffffff"/>
          <w:rtl w:val="0"/>
          <w:lang w:val="it-IT"/>
          <w14:textFill>
            <w14:solidFill>
              <w14:srgbClr w14:val="1155CC"/>
            </w14:solidFill>
          </w14:textFill>
        </w:rPr>
        <w:t>marta.volterra@hf4.it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340.96.900.12</w:t>
      </w:r>
    </w:p>
    <w:p>
      <w:pPr>
        <w:pStyle w:val="Corpo"/>
        <w:jc w:val="center"/>
      </w:pPr>
      <w:r>
        <w:rPr>
          <w:rStyle w:val="Nessuno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Valentina Pettinelli </w:t>
      </w:r>
      <w:r>
        <w:rPr>
          <w:rStyle w:val="Nessuno"/>
          <w:outline w:val="0"/>
          <w:color w:val="1155cc"/>
          <w:u w:color="1155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press@hf4.it</w:t>
      </w:r>
      <w:r>
        <w:rPr>
          <w:rStyle w:val="Nessuno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347.449.91.74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1155cc"/>
      <w:u w:val="single" w:color="1155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