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554" w14:textId="4016E2DE" w:rsidR="00106FB3" w:rsidRPr="00687CE3" w:rsidRDefault="00687CE3" w:rsidP="00687CE3">
      <w:pPr>
        <w:spacing w:after="120" w:line="264" w:lineRule="auto"/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Schroders</w:t>
      </w:r>
      <w:r w:rsidR="00124B59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-</w:t>
      </w: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</w:t>
      </w:r>
      <w:r w:rsidR="00106FB3" w:rsidRPr="00687CE3"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>Che fine ha fatto la recessione negli Stati Uniti?</w:t>
      </w:r>
      <w:r>
        <w:rPr>
          <w:rFonts w:ascii="Calibri" w:eastAsia="Times New Roman" w:hAnsi="Calibri" w:cs="Calibri"/>
          <w:b/>
          <w:bCs/>
          <w:kern w:val="36"/>
          <w:sz w:val="22"/>
          <w:szCs w:val="22"/>
          <w:lang w:val="it-IT" w:eastAsia="en-GB"/>
          <w14:ligatures w14:val="none"/>
        </w:rPr>
        <w:t xml:space="preserve"> Secondo noi, è stata solo ritardata</w:t>
      </w:r>
    </w:p>
    <w:p w14:paraId="20E6E6D4" w14:textId="14C8E8E4" w:rsidR="00106FB3" w:rsidRPr="00124B59" w:rsidRDefault="00106FB3" w:rsidP="00687CE3">
      <w:pPr>
        <w:pStyle w:val="name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24B59">
        <w:rPr>
          <w:rFonts w:ascii="Calibri" w:hAnsi="Calibri" w:cs="Calibri"/>
          <w:sz w:val="22"/>
          <w:szCs w:val="22"/>
          <w:lang w:val="en-US"/>
        </w:rPr>
        <w:t xml:space="preserve">A cura di </w:t>
      </w:r>
      <w:r w:rsidRPr="00124B59">
        <w:rPr>
          <w:rFonts w:ascii="Calibri" w:hAnsi="Calibri" w:cs="Calibri"/>
          <w:b/>
          <w:bCs/>
          <w:sz w:val="22"/>
          <w:szCs w:val="22"/>
          <w:lang w:val="en-US"/>
        </w:rPr>
        <w:t>Keith Wade, Chief Economist &amp; Strategist, Schroders</w:t>
      </w:r>
    </w:p>
    <w:p w14:paraId="36114D45" w14:textId="77777777" w:rsidR="00623B35" w:rsidRPr="00124B59" w:rsidRDefault="00623B35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en-US"/>
        </w:rPr>
      </w:pPr>
    </w:p>
    <w:p w14:paraId="2CB54FBC" w14:textId="6A86D546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Gli Stati Uniti hanno continuato a crescere alla fine dello scorso anno e sembrano aver iniziato il 2023 con una nota positiva. Gli economisti stanno ora escludendo la possibilità di una recessione negli Stati Uniti, che era prevista </w:t>
      </w:r>
      <w:r w:rsidR="00E108A9">
        <w:rPr>
          <w:rFonts w:ascii="Calibri" w:hAnsi="Calibri" w:cs="Calibri"/>
          <w:sz w:val="22"/>
          <w:szCs w:val="22"/>
          <w:lang w:val="it-IT"/>
        </w:rPr>
        <w:t xml:space="preserve">fino a 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poche settimane fa. </w:t>
      </w:r>
    </w:p>
    <w:p w14:paraId="42C09984" w14:textId="473FCE13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Il fallimento della Silicon Valley Bank (SVB)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 ha complicato il quadro e comporterà un irrigidimento delle condizioni finanziarie e una certa cautela da parte degli investitori. La nostra opinione è che questo fenomeno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frenerà la crescita, ma in questa fase non sembra essere sufficientemente sistemico da provocare una più generale contrazione del credito e una recessione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La situazione è fluida, ma </w:t>
      </w:r>
      <w:r w:rsidR="00E108A9" w:rsidRPr="00623B35">
        <w:rPr>
          <w:rFonts w:ascii="Calibri" w:hAnsi="Calibri" w:cs="Calibri"/>
          <w:b/>
          <w:bCs/>
          <w:sz w:val="22"/>
          <w:szCs w:val="22"/>
          <w:lang w:val="it-IT"/>
        </w:rPr>
        <w:t>continuiamo ad aspettarci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 che la Fed</w:t>
      </w:r>
      <w:r w:rsidR="00E108A9"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aumenti i tassi di 25 punti base in occasione della prossima riunione</w:t>
      </w:r>
      <w:r w:rsidR="00E108A9"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 di questa settimana</w:t>
      </w:r>
      <w:r w:rsidRPr="00687CE3">
        <w:rPr>
          <w:rFonts w:ascii="Calibri" w:hAnsi="Calibri" w:cs="Calibri"/>
          <w:sz w:val="22"/>
          <w:szCs w:val="22"/>
          <w:lang w:val="it-IT"/>
        </w:rPr>
        <w:t>.</w:t>
      </w:r>
    </w:p>
    <w:p w14:paraId="71CE3BF6" w14:textId="3F79A10B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Da tempo riteniamo che lo shock subito dall’economia nell’ultimo anno a causa dell’aumento dei prezzi dell’energia, </w:t>
      </w:r>
      <w:r w:rsidR="00E108A9">
        <w:rPr>
          <w:rFonts w:ascii="Calibri" w:hAnsi="Calibri" w:cs="Calibri"/>
          <w:sz w:val="22"/>
          <w:szCs w:val="22"/>
          <w:lang w:val="it-IT"/>
        </w:rPr>
        <w:t>de</w:t>
      </w:r>
      <w:r w:rsidRPr="00687CE3">
        <w:rPr>
          <w:rFonts w:ascii="Calibri" w:hAnsi="Calibri" w:cs="Calibri"/>
          <w:sz w:val="22"/>
          <w:szCs w:val="22"/>
          <w:lang w:val="it-IT"/>
        </w:rPr>
        <w:t>ll’aumento dei costi salariali e dei pagamenti degli interessi, avrebbe indebolito la domanda e provocato una contrazione del settore aziendale.</w:t>
      </w:r>
    </w:p>
    <w:p w14:paraId="653CF052" w14:textId="3824041B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Alcuni segnali in tal senso si sono manifestati in settori come quello tecnologico, che ha tagliato posti di lavoro dopo essersi espanso rapidamente durante </w:t>
      </w:r>
      <w:r w:rsidR="00E108A9">
        <w:rPr>
          <w:rFonts w:ascii="Calibri" w:hAnsi="Calibri" w:cs="Calibri"/>
          <w:sz w:val="22"/>
          <w:szCs w:val="22"/>
          <w:lang w:val="it-IT"/>
        </w:rPr>
        <w:t>i lockdown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Un processo che potrebbe accelerare sulla scia del fallimento di SVB. Tuttavia, non abbiamo assistito a licenziamenti diffusi in tutta l’economia, né a un aumento della disoccupazione, che rimane vicina ai minimi storici. </w:t>
      </w:r>
    </w:p>
    <w:p w14:paraId="276C087E" w14:textId="58BE4E55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Le aziende continuano a segnalare carenza di manodopera e le offerte di lavoro sono in crescita, con quasi due posti vacanti per ogni disoccupato.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Il mercato del lavoro non si è indebolito come previsto</w:t>
      </w:r>
      <w:r w:rsidRPr="00687CE3">
        <w:rPr>
          <w:rFonts w:ascii="Calibri" w:hAnsi="Calibri" w:cs="Calibri"/>
          <w:sz w:val="22"/>
          <w:szCs w:val="22"/>
          <w:lang w:val="it-IT"/>
        </w:rPr>
        <w:t>.</w:t>
      </w:r>
    </w:p>
    <w:p w14:paraId="5EF19F9E" w14:textId="77777777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Theme="majorEastAsia" w:hAnsi="Calibri" w:cs="Calibri"/>
          <w:b w:val="0"/>
          <w:bCs w:val="0"/>
          <w:kern w:val="2"/>
          <w:sz w:val="22"/>
          <w:szCs w:val="22"/>
          <w:u w:val="single"/>
          <w:lang w:val="it-IT" w:eastAsia="en-US"/>
          <w14:ligatures w14:val="standardContextual"/>
        </w:rPr>
      </w:pPr>
      <w:r w:rsidRPr="00687CE3">
        <w:rPr>
          <w:rStyle w:val="Enfasigrassetto"/>
          <w:rFonts w:ascii="Calibri" w:eastAsiaTheme="majorEastAsia" w:hAnsi="Calibri" w:cs="Calibri"/>
          <w:b w:val="0"/>
          <w:bCs w:val="0"/>
          <w:kern w:val="2"/>
          <w:sz w:val="22"/>
          <w:szCs w:val="22"/>
          <w:u w:val="single"/>
          <w:lang w:val="it-IT" w:eastAsia="en-US"/>
          <w14:ligatures w14:val="standardContextual"/>
        </w:rPr>
        <w:t xml:space="preserve">Le aziende hanno trasferito l’aumento dei costi per mantenere i margini di profitto  </w:t>
      </w:r>
    </w:p>
    <w:p w14:paraId="17A7B2B4" w14:textId="01BD5D3B" w:rsidR="00106FB3" w:rsidRPr="00687CE3" w:rsidRDefault="004146F0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Dopo</w:t>
      </w:r>
      <w:r w:rsidR="00106FB3" w:rsidRPr="00687CE3">
        <w:rPr>
          <w:rFonts w:ascii="Calibri" w:hAnsi="Calibri" w:cs="Calibri"/>
          <w:sz w:val="22"/>
          <w:szCs w:val="22"/>
          <w:lang w:val="it-IT"/>
        </w:rPr>
        <w:t xml:space="preserve"> la recente stagione degli utili </w:t>
      </w:r>
      <w:r>
        <w:rPr>
          <w:rFonts w:ascii="Calibri" w:hAnsi="Calibri" w:cs="Calibri"/>
          <w:sz w:val="22"/>
          <w:szCs w:val="22"/>
          <w:lang w:val="it-IT"/>
        </w:rPr>
        <w:t>è</w:t>
      </w:r>
      <w:r w:rsidR="00106FB3" w:rsidRPr="00687CE3">
        <w:rPr>
          <w:rFonts w:ascii="Calibri" w:hAnsi="Calibri" w:cs="Calibri"/>
          <w:sz w:val="22"/>
          <w:szCs w:val="22"/>
          <w:lang w:val="it-IT"/>
        </w:rPr>
        <w:t xml:space="preserve"> chiaro che esiste ancora un potere di determinazione dei prezzi e che </w:t>
      </w:r>
      <w:r w:rsidR="00106FB3" w:rsidRPr="00623B35">
        <w:rPr>
          <w:rFonts w:ascii="Calibri" w:hAnsi="Calibri" w:cs="Calibri"/>
          <w:b/>
          <w:bCs/>
          <w:sz w:val="22"/>
          <w:szCs w:val="22"/>
          <w:lang w:val="it-IT"/>
        </w:rPr>
        <w:t>le aziende sono in grado di trasferire i costi più elevati sui prezzi, cosicché la compressione dei margini di profitto non si è ancora concretizzata</w:t>
      </w:r>
      <w:r w:rsidR="00106FB3" w:rsidRPr="00687CE3">
        <w:rPr>
          <w:rFonts w:ascii="Calibri" w:hAnsi="Calibri" w:cs="Calibri"/>
          <w:sz w:val="22"/>
          <w:szCs w:val="22"/>
          <w:lang w:val="it-IT"/>
        </w:rPr>
        <w:t xml:space="preserve">. Ciò è confermato dai dati macroeconomici che mostrano un aumento dei prezzi più rapido dei costi salariali unitari nel settore delle imprese. I margini di profitto sono stati mantenuti e il flusso di cassa continua a superare le spese nel settore delle imprese. </w:t>
      </w:r>
    </w:p>
    <w:p w14:paraId="33EC0C26" w14:textId="58AE4080" w:rsidR="00106FB3" w:rsidRPr="00623B35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b/>
          <w:bCs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In questo contesto le </w:t>
      </w:r>
      <w:r w:rsidR="004146F0">
        <w:rPr>
          <w:rFonts w:ascii="Calibri" w:hAnsi="Calibri" w:cs="Calibri"/>
          <w:sz w:val="22"/>
          <w:szCs w:val="22"/>
          <w:lang w:val="it-IT"/>
        </w:rPr>
        <w:t>aziende</w:t>
      </w:r>
      <w:r w:rsidR="004146F0" w:rsidRPr="00687CE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non hanno subito pressioni finanziarie per ristrutturare e tagliare posti di lavoro. Di conseguenza,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l’inflazione è ancora un problema, poiché i costi sono stati trasferiti sui prezzi al consumo. </w:t>
      </w:r>
    </w:p>
    <w:p w14:paraId="74A1BE53" w14:textId="208F48E4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>Da questo punto di vista, la fonte della tenuta della crescita, dell’inflazione e degli utili aziendali risiede nella vivacità della domanda sottostante, che è rimasta sufficientemente forte da assorbire l’aumento dei prezzi.</w:t>
      </w:r>
    </w:p>
    <w:p w14:paraId="2C3ADA4E" w14:textId="41416923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Style w:val="Enfasigrassetto"/>
          <w:rFonts w:ascii="Calibri" w:eastAsiaTheme="majorEastAsia" w:hAnsi="Calibri" w:cs="Calibri"/>
          <w:b w:val="0"/>
          <w:bCs w:val="0"/>
          <w:kern w:val="2"/>
          <w:sz w:val="22"/>
          <w:szCs w:val="22"/>
          <w:u w:val="single"/>
          <w:lang w:val="it-IT" w:eastAsia="en-US"/>
          <w14:ligatures w14:val="standardContextual"/>
        </w:rPr>
      </w:pPr>
      <w:r w:rsidRPr="00687CE3">
        <w:rPr>
          <w:rStyle w:val="Enfasigrassetto"/>
          <w:rFonts w:ascii="Calibri" w:eastAsiaTheme="majorEastAsia" w:hAnsi="Calibri" w:cs="Calibri"/>
          <w:b w:val="0"/>
          <w:bCs w:val="0"/>
          <w:kern w:val="2"/>
          <w:sz w:val="22"/>
          <w:szCs w:val="22"/>
          <w:u w:val="single"/>
          <w:lang w:val="it-IT" w:eastAsia="en-US"/>
          <w14:ligatures w14:val="standardContextual"/>
        </w:rPr>
        <w:t xml:space="preserve">Liberazione della domanda repressa </w:t>
      </w:r>
    </w:p>
    <w:p w14:paraId="6C772F30" w14:textId="29F7686E" w:rsidR="00106FB3" w:rsidRPr="00623B35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b/>
          <w:bCs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>Per quanto riguarda i consumatori, l’aumento dell’inflazione ha chiaramente inciso sulla capacità di spesa</w:t>
      </w:r>
      <w:r w:rsidR="004146F0">
        <w:rPr>
          <w:rFonts w:ascii="Calibri" w:hAnsi="Calibri" w:cs="Calibri"/>
          <w:sz w:val="22"/>
          <w:szCs w:val="22"/>
          <w:lang w:val="it-IT"/>
        </w:rPr>
        <w:t>. Nonostante ciò,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la spesa reale dei consumatori statunitensi è aumentata nel 2022</w:t>
      </w:r>
      <w:r w:rsidR="004146F0" w:rsidRPr="00623B35">
        <w:rPr>
          <w:rFonts w:ascii="Calibri" w:hAnsi="Calibri" w:cs="Calibri"/>
          <w:b/>
          <w:bCs/>
          <w:sz w:val="22"/>
          <w:szCs w:val="22"/>
          <w:lang w:val="it-IT"/>
        </w:rPr>
        <w:t>, anche se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 è stata sostenuta dall’accumulo di risparmi, piuttosto che dalla spesa del reddito corrente. </w:t>
      </w:r>
    </w:p>
    <w:p w14:paraId="389968C0" w14:textId="77777777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Il reddito personale disponibile reale è sceso del 2,3% nel corso dell’anno (dal quarto trimestre 2021 al quarto trimestre 2022), ma la spesa reale dei consumatori è aumentata dell’1,9% nello stesso </w:t>
      </w:r>
      <w:r w:rsidRPr="00687CE3">
        <w:rPr>
          <w:rFonts w:ascii="Calibri" w:hAnsi="Calibri" w:cs="Calibri"/>
          <w:sz w:val="22"/>
          <w:szCs w:val="22"/>
          <w:lang w:val="it-IT"/>
        </w:rPr>
        <w:lastRenderedPageBreak/>
        <w:t xml:space="preserve">periodo, poiché le famiglie hanno ridotto il loro tasso di risparmio dal 7,3% del reddito disponibile al 2,9%. </w:t>
      </w:r>
    </w:p>
    <w:p w14:paraId="587A2BD3" w14:textId="7DEDE785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La riduzione del risparmio delle famiglie riflette l’utilizzo dei fondi accumulati durante la pandemia</w:t>
      </w:r>
      <w:r w:rsidRPr="00623B35">
        <w:rPr>
          <w:rFonts w:ascii="Calibri" w:hAnsi="Calibri" w:cs="Calibri"/>
          <w:sz w:val="22"/>
          <w:szCs w:val="22"/>
          <w:lang w:val="it-IT"/>
        </w:rPr>
        <w:t>, quando la spesa era limitata.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 Secondo le nostre stime, lo scorso anno le famiglie disponevano di 2.400 miliardi di dollari di risparmi “in eccesso", sulla base delle tendenze pre-pandemia. Secondo i nostri calcoli, nel 2022 sono stati utilizzati circa 800 miliardi di dollari per sostenere i consumi, pari al calo del tasso di risparmio, lasciando un eccesso di 1.600 miliardi di dollari. </w:t>
      </w:r>
    </w:p>
    <w:p w14:paraId="591A0EE7" w14:textId="33BDEE3B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Nel complesso, ci aspettiamo che l’eccesso si esaurisca a un ritmo simile a quello del 2022 e di conseguenza assisteremo a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un altro anno in cui le famiglie manterranno il loro tasso di risparmio al di sotto della norma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Di conseguenza,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i consumi nel 2023 dipenderanno interamente dalla crescita del reddito reale</w:t>
      </w:r>
      <w:r w:rsidRPr="00687CE3">
        <w:rPr>
          <w:rFonts w:ascii="Calibri" w:hAnsi="Calibri" w:cs="Calibri"/>
          <w:sz w:val="22"/>
          <w:szCs w:val="22"/>
          <w:lang w:val="it-IT"/>
        </w:rPr>
        <w:t>. Riteniamo che ciò sarà moderatamente positivo in quanto, sebbene l’inflazione sia attualmente elevata (6%) e superiore alla crescita di salari e stipendi, si prevede che gli aumenti dei prezzi al consumo si moderino nel corso dell’anno. Anche gli aumenti dei sussidi, delle pensioni e del salario minimo contribuiranno, ma la crescita del reddito reale non dovrebbe superare di molto l’1% nel 2023, soprattutto se, come previsto, la disoccupazione aumenterà.</w:t>
      </w:r>
      <w:r w:rsidRPr="00687CE3"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  <w:t xml:space="preserve"> </w:t>
      </w:r>
    </w:p>
    <w:p w14:paraId="3D6D6F44" w14:textId="13934B6F" w:rsidR="00106FB3" w:rsidRPr="00687CE3" w:rsidRDefault="004146F0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</w:pPr>
      <w:r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  <w:t>Verso un</w:t>
      </w:r>
      <w:r w:rsidRPr="00687CE3"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  <w:t xml:space="preserve"> </w:t>
      </w:r>
      <w:r w:rsidR="00106FB3" w:rsidRPr="00687CE3">
        <w:rPr>
          <w:rFonts w:ascii="Calibri" w:eastAsiaTheme="majorEastAsia" w:hAnsi="Calibri" w:cs="Calibri"/>
          <w:kern w:val="2"/>
          <w:sz w:val="22"/>
          <w:szCs w:val="22"/>
          <w:u w:val="single"/>
          <w:lang w:val="it-IT" w:eastAsia="en-US"/>
          <w14:ligatures w14:val="standardContextual"/>
        </w:rPr>
        <w:t xml:space="preserve">rallentamento della domanda </w:t>
      </w:r>
    </w:p>
    <w:p w14:paraId="69D1F0A2" w14:textId="4199B359" w:rsidR="00106FB3" w:rsidRPr="00687CE3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>Una crescita dei consumi dell’1% rappresenterebbe un notevole rallentamento della domanda, mettendo sotto pressione il potere di determinazione dei prezzi delle imprese e comprimendo i margini di profitto e i fluss</w:t>
      </w:r>
      <w:r w:rsidR="004146F0">
        <w:rPr>
          <w:rFonts w:ascii="Calibri" w:hAnsi="Calibri" w:cs="Calibri"/>
          <w:sz w:val="22"/>
          <w:szCs w:val="22"/>
          <w:lang w:val="it-IT"/>
        </w:rPr>
        <w:t>i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 di cassa. Le aziende dovrebbero reagire tagliando i posti di lavoro, facendo così aumentare la disoccupazione. Questo, a sua volta, si ripercuoterebbe sul rallentamento dei consumi, in quanto le famiglie diventerebbero più caute. A nostro avviso, questi effetti di seconda istanza scatenerebbero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un’ulteriore debolezza della spesa e porterebbero l’economia a un rallentamento più marcato nel 2023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2D2130C2" w14:textId="573014F4" w:rsidR="00106FB3" w:rsidRPr="00687CE3" w:rsidRDefault="00106FB3" w:rsidP="00623B35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A nostro avviso,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la capacità di consumatori e imprese di resistere agli shock energetici e salariali contribuisce a spiegare gran parte della tenuta dell’economia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Ciò non significa che la politica monetaria abbia smesso di funzionare: essa agisce sempre con un lungo ritardo, e la velocità con cui i tassi di interesse sono stati aumentati da quasi zero ai livelli attuali significa che la politica non è stata restrittiva per così tanto tempo. </w:t>
      </w:r>
    </w:p>
    <w:p w14:paraId="6D8AA8FF" w14:textId="6AA0C2DC" w:rsidR="006E49B2" w:rsidRPr="00623B35" w:rsidRDefault="00106FB3" w:rsidP="00687CE3">
      <w:pPr>
        <w:pStyle w:val="NormaleWeb"/>
        <w:shd w:val="clear" w:color="auto" w:fill="FFFFFF"/>
        <w:spacing w:before="0" w:beforeAutospacing="0" w:after="120" w:afterAutospacing="0" w:line="264" w:lineRule="auto"/>
        <w:rPr>
          <w:rFonts w:ascii="Calibri" w:hAnsi="Calibri" w:cs="Calibri"/>
          <w:b/>
          <w:bCs/>
          <w:sz w:val="22"/>
          <w:szCs w:val="22"/>
          <w:lang w:val="it-IT"/>
        </w:rPr>
      </w:pPr>
      <w:r w:rsidRPr="00687CE3">
        <w:rPr>
          <w:rFonts w:ascii="Calibri" w:hAnsi="Calibri" w:cs="Calibri"/>
          <w:sz w:val="22"/>
          <w:szCs w:val="22"/>
          <w:lang w:val="it-IT"/>
        </w:rPr>
        <w:t xml:space="preserve">Su questa base,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>riteniamo che la recessione sia stata ritardata piuttosto che evitata</w:t>
      </w:r>
      <w:r w:rsidRPr="00687CE3">
        <w:rPr>
          <w:rFonts w:ascii="Calibri" w:hAnsi="Calibri" w:cs="Calibri"/>
          <w:sz w:val="22"/>
          <w:szCs w:val="22"/>
          <w:lang w:val="it-IT"/>
        </w:rPr>
        <w:t xml:space="preserve">.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Se la domanda dei consumatori dovesse raffreddarsi come previsto, è probabile che ciò avvenga nella seconda metà dell’anno, se non più tardi. A questo punto è probabile che la Fed allenti la sua politica o </w:t>
      </w:r>
      <w:r w:rsidR="00623B35"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opti per </w:t>
      </w:r>
      <w:r w:rsidRPr="00623B35">
        <w:rPr>
          <w:rFonts w:ascii="Calibri" w:hAnsi="Calibri" w:cs="Calibri"/>
          <w:b/>
          <w:bCs/>
          <w:sz w:val="22"/>
          <w:szCs w:val="22"/>
          <w:lang w:val="it-IT"/>
        </w:rPr>
        <w:t xml:space="preserve">un cambio di rotta.  </w:t>
      </w:r>
    </w:p>
    <w:sectPr w:rsidR="006E49B2" w:rsidRPr="00623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5C"/>
    <w:rsid w:val="00106FB3"/>
    <w:rsid w:val="00124B59"/>
    <w:rsid w:val="001F1E0E"/>
    <w:rsid w:val="00212737"/>
    <w:rsid w:val="004146F0"/>
    <w:rsid w:val="00623B35"/>
    <w:rsid w:val="00624BAF"/>
    <w:rsid w:val="00687CE3"/>
    <w:rsid w:val="006E49B2"/>
    <w:rsid w:val="00A9725C"/>
    <w:rsid w:val="00BC4C71"/>
    <w:rsid w:val="00E108A9"/>
    <w:rsid w:val="00F4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8ED1"/>
  <w15:chartTrackingRefBased/>
  <w15:docId w15:val="{A2865854-D2ED-654B-92D6-48E753D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06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6F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6F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hidden-xs">
    <w:name w:val="hidden-xs"/>
    <w:basedOn w:val="Normale"/>
    <w:rsid w:val="00106F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name">
    <w:name w:val="name"/>
    <w:basedOn w:val="Normale"/>
    <w:rsid w:val="00106F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Titolo10">
    <w:name w:val="Titolo1"/>
    <w:basedOn w:val="Normale"/>
    <w:rsid w:val="00106F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6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106F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nfasigrassetto">
    <w:name w:val="Strong"/>
    <w:basedOn w:val="Carpredefinitoparagrafo"/>
    <w:uiPriority w:val="22"/>
    <w:qFormat/>
    <w:rsid w:val="00106FB3"/>
    <w:rPr>
      <w:b/>
      <w:bCs/>
    </w:rPr>
  </w:style>
  <w:style w:type="paragraph" w:styleId="Revisione">
    <w:name w:val="Revision"/>
    <w:hidden/>
    <w:uiPriority w:val="99"/>
    <w:semiHidden/>
    <w:rsid w:val="00E1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Sarah Tuggey</dc:creator>
  <cp:keywords/>
  <dc:description/>
  <cp:lastModifiedBy>Diana Ferla</cp:lastModifiedBy>
  <cp:revision>7</cp:revision>
  <dcterms:created xsi:type="dcterms:W3CDTF">2023-03-20T15:46:00Z</dcterms:created>
  <dcterms:modified xsi:type="dcterms:W3CDTF">2023-03-22T08:20:00Z</dcterms:modified>
</cp:coreProperties>
</file>