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288CF" w14:textId="1A7F6E37" w:rsidR="00B40BE5" w:rsidRPr="00B40BE5" w:rsidRDefault="00B40BE5" w:rsidP="00B40BE5">
      <w:pPr>
        <w:shd w:val="clear" w:color="auto" w:fill="FFFFFF"/>
        <w:spacing w:after="120" w:line="264" w:lineRule="auto"/>
        <w:outlineLvl w:val="0"/>
        <w:rPr>
          <w:rFonts w:ascii="Calibri" w:eastAsia="Times New Roman" w:hAnsi="Calibri" w:cs="Calibri"/>
          <w:b/>
          <w:bCs/>
          <w:kern w:val="36"/>
          <w:lang w:eastAsia="it-IT"/>
        </w:rPr>
      </w:pPr>
      <w:r w:rsidRPr="00B40BE5">
        <w:rPr>
          <w:rFonts w:ascii="Calibri" w:eastAsia="Times New Roman" w:hAnsi="Calibri" w:cs="Calibri"/>
          <w:b/>
          <w:bCs/>
          <w:kern w:val="36"/>
          <w:lang w:eastAsia="it-IT"/>
        </w:rPr>
        <w:t>Schroders: Cina, cosa aspettarsi dall’Ann</w:t>
      </w:r>
      <w:r>
        <w:rPr>
          <w:rFonts w:ascii="Calibri" w:eastAsia="Times New Roman" w:hAnsi="Calibri" w:cs="Calibri"/>
          <w:b/>
          <w:bCs/>
          <w:kern w:val="36"/>
          <w:lang w:eastAsia="it-IT"/>
        </w:rPr>
        <w:t>o del Coniglio?</w:t>
      </w:r>
    </w:p>
    <w:p w14:paraId="46B989BB" w14:textId="0E6FAC81" w:rsidR="00B40BE5" w:rsidRPr="00B40BE5" w:rsidRDefault="00B40BE5" w:rsidP="00B40BE5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</w:p>
    <w:p w14:paraId="0E4F07C2" w14:textId="19A952ED" w:rsidR="00B40BE5" w:rsidRPr="003E6F58" w:rsidRDefault="00F15CC0" w:rsidP="003E6F58">
      <w:pPr>
        <w:shd w:val="clear" w:color="auto" w:fill="FFFFFF"/>
        <w:tabs>
          <w:tab w:val="left" w:pos="851"/>
        </w:tabs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Il Capodanno lunare </w:t>
      </w:r>
      <w:r w:rsidR="00356596">
        <w:rPr>
          <w:rFonts w:ascii="Calibri" w:eastAsia="Times New Roman" w:hAnsi="Calibri" w:cs="Calibri"/>
          <w:lang w:eastAsia="it-IT"/>
        </w:rPr>
        <w:t>è</w:t>
      </w:r>
      <w:r w:rsidR="00356596" w:rsidRPr="00F15CC0">
        <w:rPr>
          <w:rFonts w:ascii="Calibri" w:eastAsia="Times New Roman" w:hAnsi="Calibri" w:cs="Calibri"/>
          <w:lang w:eastAsia="it-IT"/>
        </w:rPr>
        <w:t xml:space="preserve"> </w:t>
      </w:r>
      <w:r w:rsidR="00C73A46">
        <w:rPr>
          <w:rFonts w:ascii="Calibri" w:eastAsia="Times New Roman" w:hAnsi="Calibri" w:cs="Calibri"/>
          <w:lang w:eastAsia="it-IT"/>
        </w:rPr>
        <w:t xml:space="preserve">stato </w:t>
      </w:r>
      <w:r w:rsidRPr="00F15CC0">
        <w:rPr>
          <w:rFonts w:ascii="Calibri" w:eastAsia="Times New Roman" w:hAnsi="Calibri" w:cs="Calibri"/>
          <w:lang w:eastAsia="it-IT"/>
        </w:rPr>
        <w:t>il 22 gennaio</w:t>
      </w:r>
      <w:r w:rsidR="00356596">
        <w:rPr>
          <w:rFonts w:ascii="Calibri" w:eastAsia="Times New Roman" w:hAnsi="Calibri" w:cs="Calibri"/>
          <w:lang w:eastAsia="it-IT"/>
        </w:rPr>
        <w:t xml:space="preserve"> e </w:t>
      </w:r>
      <w:r w:rsidR="00C73A46">
        <w:rPr>
          <w:rFonts w:ascii="Calibri" w:eastAsia="Times New Roman" w:hAnsi="Calibri" w:cs="Calibri"/>
          <w:lang w:eastAsia="it-IT"/>
        </w:rPr>
        <w:t>ha dato</w:t>
      </w:r>
      <w:r w:rsidR="00356596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>inizio al</w:t>
      </w:r>
      <w:r w:rsidRPr="00F15CC0">
        <w:rPr>
          <w:rFonts w:ascii="Calibri" w:eastAsia="Times New Roman" w:hAnsi="Calibri" w:cs="Calibri"/>
          <w:lang w:eastAsia="it-IT"/>
        </w:rPr>
        <w:t xml:space="preserve">l'Anno del </w:t>
      </w:r>
      <w:r>
        <w:rPr>
          <w:rFonts w:ascii="Calibri" w:eastAsia="Times New Roman" w:hAnsi="Calibri" w:cs="Calibri"/>
          <w:lang w:eastAsia="it-IT"/>
        </w:rPr>
        <w:t>C</w:t>
      </w:r>
      <w:r w:rsidRPr="00F15CC0">
        <w:rPr>
          <w:rFonts w:ascii="Calibri" w:eastAsia="Times New Roman" w:hAnsi="Calibri" w:cs="Calibri"/>
          <w:lang w:eastAsia="it-IT"/>
        </w:rPr>
        <w:t>oniglio. I conigli sono un simbolo di buon</w:t>
      </w:r>
      <w:r w:rsidR="00356596">
        <w:rPr>
          <w:rFonts w:ascii="Calibri" w:eastAsia="Times New Roman" w:hAnsi="Calibri" w:cs="Calibri"/>
          <w:lang w:eastAsia="it-IT"/>
        </w:rPr>
        <w:t xml:space="preserve"> auspicio</w:t>
      </w:r>
      <w:r w:rsidRPr="00F15CC0">
        <w:rPr>
          <w:rFonts w:ascii="Calibri" w:eastAsia="Times New Roman" w:hAnsi="Calibri" w:cs="Calibri"/>
          <w:lang w:eastAsia="it-IT"/>
        </w:rPr>
        <w:t xml:space="preserve">. </w:t>
      </w:r>
      <w:r w:rsidR="00356596">
        <w:rPr>
          <w:rFonts w:ascii="Calibri" w:eastAsia="Times New Roman" w:hAnsi="Calibri" w:cs="Calibri"/>
          <w:lang w:eastAsia="it-IT"/>
        </w:rPr>
        <w:t>D</w:t>
      </w:r>
      <w:r w:rsidRPr="00F15CC0">
        <w:rPr>
          <w:rFonts w:ascii="Calibri" w:eastAsia="Times New Roman" w:hAnsi="Calibri" w:cs="Calibri"/>
          <w:lang w:eastAsia="it-IT"/>
        </w:rPr>
        <w:t xml:space="preserve">opo un 2022 difficile per gli asset cinesi, gli investitori in Cina saranno </w:t>
      </w:r>
      <w:r w:rsidR="00356596">
        <w:rPr>
          <w:rFonts w:ascii="Calibri" w:eastAsia="Times New Roman" w:hAnsi="Calibri" w:cs="Calibri"/>
          <w:lang w:eastAsia="it-IT"/>
        </w:rPr>
        <w:t xml:space="preserve">quindi </w:t>
      </w:r>
      <w:r w:rsidRPr="00F15CC0">
        <w:rPr>
          <w:rFonts w:ascii="Calibri" w:eastAsia="Times New Roman" w:hAnsi="Calibri" w:cs="Calibri"/>
          <w:lang w:eastAsia="it-IT"/>
        </w:rPr>
        <w:t xml:space="preserve">più fortunati nel 2023? </w:t>
      </w:r>
      <w:r w:rsidRPr="003E6F58">
        <w:rPr>
          <w:rFonts w:ascii="Calibri" w:eastAsia="Times New Roman" w:hAnsi="Calibri" w:cs="Calibri"/>
          <w:lang w:eastAsia="it-IT"/>
        </w:rPr>
        <w:t>Abbiamo chiesto ai nostri esperti il loro parere.</w:t>
      </w:r>
    </w:p>
    <w:p w14:paraId="1E708914" w14:textId="5BB59F85" w:rsidR="00F15CC0" w:rsidRPr="003E6F58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b/>
          <w:bCs/>
          <w:u w:val="single"/>
          <w:lang w:eastAsia="it-IT"/>
        </w:rPr>
      </w:pPr>
      <w:r w:rsidRPr="003E6F58">
        <w:rPr>
          <w:rFonts w:ascii="Calibri" w:eastAsia="Times New Roman" w:hAnsi="Calibri" w:cs="Calibri"/>
          <w:b/>
          <w:bCs/>
          <w:u w:val="single"/>
          <w:lang w:eastAsia="it-IT"/>
        </w:rPr>
        <w:t xml:space="preserve">David Rees, Senior </w:t>
      </w:r>
      <w:proofErr w:type="spellStart"/>
      <w:r w:rsidRPr="003E6F58">
        <w:rPr>
          <w:rFonts w:ascii="Calibri" w:eastAsia="Times New Roman" w:hAnsi="Calibri" w:cs="Calibri"/>
          <w:b/>
          <w:bCs/>
          <w:u w:val="single"/>
          <w:lang w:eastAsia="it-IT"/>
        </w:rPr>
        <w:t>Emerging</w:t>
      </w:r>
      <w:proofErr w:type="spellEnd"/>
      <w:r w:rsidRPr="003E6F58">
        <w:rPr>
          <w:rFonts w:ascii="Calibri" w:eastAsia="Times New Roman" w:hAnsi="Calibri" w:cs="Calibri"/>
          <w:b/>
          <w:bCs/>
          <w:u w:val="single"/>
          <w:lang w:eastAsia="it-IT"/>
        </w:rPr>
        <w:t xml:space="preserve"> Markets Economist, Schroders:</w:t>
      </w:r>
    </w:p>
    <w:p w14:paraId="414016BA" w14:textId="77777777" w:rsid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>"</w:t>
      </w:r>
      <w:r>
        <w:rPr>
          <w:rFonts w:ascii="Calibri" w:eastAsia="Times New Roman" w:hAnsi="Calibri" w:cs="Calibri"/>
          <w:lang w:eastAsia="it-IT"/>
        </w:rPr>
        <w:t>Ci aspettiamo</w:t>
      </w:r>
      <w:r w:rsidRPr="00F15CC0">
        <w:rPr>
          <w:rFonts w:ascii="Calibri" w:eastAsia="Times New Roman" w:hAnsi="Calibri" w:cs="Calibri"/>
          <w:lang w:eastAsia="it-IT"/>
        </w:rPr>
        <w:t xml:space="preserve"> che l'economia cinese si riprenderà nel 2023. </w:t>
      </w:r>
      <w:r w:rsidRPr="003E6F58">
        <w:rPr>
          <w:rFonts w:ascii="Calibri" w:eastAsia="Times New Roman" w:hAnsi="Calibri" w:cs="Calibri"/>
          <w:b/>
          <w:bCs/>
          <w:lang w:eastAsia="it-IT"/>
        </w:rPr>
        <w:t>La nostra previsione di base è che la crescita del PIL cinese salirà al 5% dal 3% del 2022</w:t>
      </w:r>
      <w:r w:rsidRPr="00F15CC0">
        <w:rPr>
          <w:rFonts w:ascii="Calibri" w:eastAsia="Times New Roman" w:hAnsi="Calibri" w:cs="Calibri"/>
          <w:lang w:eastAsia="it-IT"/>
        </w:rPr>
        <w:t>.</w:t>
      </w:r>
      <w:r>
        <w:rPr>
          <w:rFonts w:ascii="Calibri" w:eastAsia="Times New Roman" w:hAnsi="Calibri" w:cs="Calibri"/>
          <w:lang w:eastAsia="it-IT"/>
        </w:rPr>
        <w:t xml:space="preserve"> </w:t>
      </w:r>
    </w:p>
    <w:p w14:paraId="7BA62DB2" w14:textId="0611D8E4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La rapida rimozione </w:t>
      </w:r>
      <w:r>
        <w:rPr>
          <w:rFonts w:ascii="Calibri" w:eastAsia="Times New Roman" w:hAnsi="Calibri" w:cs="Calibri"/>
          <w:lang w:eastAsia="it-IT"/>
        </w:rPr>
        <w:t>delle limitazioni legate al</w:t>
      </w:r>
      <w:r w:rsidRPr="00F15CC0">
        <w:rPr>
          <w:rFonts w:ascii="Calibri" w:eastAsia="Times New Roman" w:hAnsi="Calibri" w:cs="Calibri"/>
          <w:lang w:eastAsia="it-IT"/>
        </w:rPr>
        <w:t xml:space="preserve"> Covid dovrebbe far sì che l'economia inizi a migliorare </w:t>
      </w:r>
      <w:r>
        <w:rPr>
          <w:rFonts w:ascii="Calibri" w:eastAsia="Times New Roman" w:hAnsi="Calibri" w:cs="Calibri"/>
          <w:lang w:eastAsia="it-IT"/>
        </w:rPr>
        <w:t>più velocemente</w:t>
      </w:r>
      <w:r w:rsidRPr="00F15CC0">
        <w:rPr>
          <w:rFonts w:ascii="Calibri" w:eastAsia="Times New Roman" w:hAnsi="Calibri" w:cs="Calibri"/>
          <w:lang w:eastAsia="it-IT"/>
        </w:rPr>
        <w:t xml:space="preserve">. </w:t>
      </w:r>
      <w:r w:rsidRPr="003E6F58">
        <w:rPr>
          <w:rFonts w:ascii="Calibri" w:eastAsia="Times New Roman" w:hAnsi="Calibri" w:cs="Calibri"/>
          <w:b/>
          <w:bCs/>
          <w:lang w:eastAsia="it-IT"/>
        </w:rPr>
        <w:t>Il settore dei servizi, in particolare, dovrebbe trarne beneficio e ciò potrebbe significare che l'economia crescerà più rapidamente rispetto alle nostre attuali previsioni</w:t>
      </w:r>
      <w:r w:rsidRPr="00F15CC0">
        <w:rPr>
          <w:rFonts w:ascii="Calibri" w:eastAsia="Times New Roman" w:hAnsi="Calibri" w:cs="Calibri"/>
          <w:lang w:eastAsia="it-IT"/>
        </w:rPr>
        <w:t>.</w:t>
      </w:r>
    </w:p>
    <w:p w14:paraId="554D8A65" w14:textId="7A6C56B8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Nel fratte</w:t>
      </w:r>
      <w:r w:rsidRPr="00F15CC0">
        <w:rPr>
          <w:rFonts w:ascii="Calibri" w:eastAsia="Times New Roman" w:hAnsi="Calibri" w:cs="Calibri"/>
          <w:lang w:eastAsia="it-IT"/>
        </w:rPr>
        <w:t>mpo, la spesa per le infrastrutture è stata sostenuta nel 2022 e dovrebbe sostenere la crescita ancora per un po', dato che l</w:t>
      </w:r>
      <w:r>
        <w:rPr>
          <w:rFonts w:ascii="Calibri" w:eastAsia="Times New Roman" w:hAnsi="Calibri" w:cs="Calibri"/>
          <w:lang w:eastAsia="it-IT"/>
        </w:rPr>
        <w:t>e politiche</w:t>
      </w:r>
      <w:r w:rsidRPr="00F15CC0">
        <w:rPr>
          <w:rFonts w:ascii="Calibri" w:eastAsia="Times New Roman" w:hAnsi="Calibri" w:cs="Calibri"/>
          <w:lang w:eastAsia="it-IT"/>
        </w:rPr>
        <w:t xml:space="preserve"> </w:t>
      </w:r>
      <w:r>
        <w:rPr>
          <w:rFonts w:ascii="Calibri" w:eastAsia="Times New Roman" w:hAnsi="Calibri" w:cs="Calibri"/>
          <w:lang w:eastAsia="it-IT"/>
        </w:rPr>
        <w:t xml:space="preserve">continuano a essere </w:t>
      </w:r>
      <w:r w:rsidRPr="00F15CC0">
        <w:rPr>
          <w:rFonts w:ascii="Calibri" w:eastAsia="Times New Roman" w:hAnsi="Calibri" w:cs="Calibri"/>
          <w:lang w:eastAsia="it-IT"/>
        </w:rPr>
        <w:t xml:space="preserve">di supporto. Gli indicatori relativi all'edilizia abitativa potrebbero aver iniziato a </w:t>
      </w:r>
      <w:r>
        <w:rPr>
          <w:rFonts w:ascii="Calibri" w:eastAsia="Times New Roman" w:hAnsi="Calibri" w:cs="Calibri"/>
          <w:lang w:eastAsia="it-IT"/>
        </w:rPr>
        <w:t>toccare</w:t>
      </w:r>
      <w:r w:rsidRPr="00F15CC0">
        <w:rPr>
          <w:rFonts w:ascii="Calibri" w:eastAsia="Times New Roman" w:hAnsi="Calibri" w:cs="Calibri"/>
          <w:lang w:eastAsia="it-IT"/>
        </w:rPr>
        <w:t xml:space="preserve"> un punto di </w:t>
      </w:r>
      <w:r>
        <w:rPr>
          <w:rFonts w:ascii="Calibri" w:eastAsia="Times New Roman" w:hAnsi="Calibri" w:cs="Calibri"/>
          <w:lang w:eastAsia="it-IT"/>
        </w:rPr>
        <w:t>minimo</w:t>
      </w:r>
      <w:r w:rsidRPr="00F15CC0">
        <w:rPr>
          <w:rFonts w:ascii="Calibri" w:eastAsia="Times New Roman" w:hAnsi="Calibri" w:cs="Calibri"/>
          <w:lang w:eastAsia="it-IT"/>
        </w:rPr>
        <w:t xml:space="preserve"> e potrebbero registrare una ripresa nel 2023 da una base molto bassa".</w:t>
      </w:r>
    </w:p>
    <w:p w14:paraId="6B7C986B" w14:textId="64450D77" w:rsidR="00F15CC0" w:rsidRPr="003E6F58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u w:val="single"/>
          <w:lang w:val="en-US" w:eastAsia="it-IT"/>
        </w:rPr>
      </w:pPr>
      <w:r w:rsidRPr="003E6F58">
        <w:rPr>
          <w:rFonts w:ascii="Calibri" w:eastAsia="Times New Roman" w:hAnsi="Calibri" w:cs="Calibri"/>
          <w:b/>
          <w:bCs/>
          <w:u w:val="single"/>
          <w:lang w:val="en-US" w:eastAsia="it-IT"/>
        </w:rPr>
        <w:t>Louisa Lo, Head of Greater China equities, Schroders:</w:t>
      </w:r>
    </w:p>
    <w:p w14:paraId="25F03563" w14:textId="1C9E69D6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>"</w:t>
      </w:r>
      <w:r w:rsidRPr="003E6F58">
        <w:rPr>
          <w:rFonts w:ascii="Calibri" w:eastAsia="Times New Roman" w:hAnsi="Calibri" w:cs="Calibri"/>
          <w:b/>
          <w:bCs/>
          <w:lang w:eastAsia="it-IT"/>
        </w:rPr>
        <w:t>L’azionario cinese continuerà a essere influenzato dal contesto macroeconomico globale</w:t>
      </w:r>
      <w:r w:rsidRPr="00F15CC0">
        <w:rPr>
          <w:rFonts w:ascii="Calibri" w:eastAsia="Times New Roman" w:hAnsi="Calibri" w:cs="Calibri"/>
          <w:lang w:eastAsia="it-IT"/>
        </w:rPr>
        <w:t xml:space="preserve">, ossia dall'entità dei rialzi dei tassi e dalla forma del rallentamento economico negli Stati Uniti e in Europa. Un picco nel ciclo dei tassi USA e un dollaro più </w:t>
      </w:r>
      <w:r>
        <w:rPr>
          <w:rFonts w:ascii="Calibri" w:eastAsia="Times New Roman" w:hAnsi="Calibri" w:cs="Calibri"/>
          <w:lang w:eastAsia="it-IT"/>
        </w:rPr>
        <w:t>debole</w:t>
      </w:r>
      <w:r w:rsidRPr="00F15CC0">
        <w:rPr>
          <w:rFonts w:ascii="Calibri" w:eastAsia="Times New Roman" w:hAnsi="Calibri" w:cs="Calibri"/>
          <w:lang w:eastAsia="it-IT"/>
        </w:rPr>
        <w:t xml:space="preserve"> dovrebbero favorire la liquidità dei mercati emergenti.</w:t>
      </w:r>
    </w:p>
    <w:p w14:paraId="0B3CDBD4" w14:textId="01F5BAE3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La Cina ha recentemente rimosso tutti i principali ostacoli alla riapertura del mercato post Covid più velocemente del previsto. Questo dovrebbe fornire </w:t>
      </w:r>
      <w:r w:rsidRPr="003E6F58">
        <w:rPr>
          <w:rFonts w:ascii="Calibri" w:eastAsia="Times New Roman" w:hAnsi="Calibri" w:cs="Calibri"/>
          <w:b/>
          <w:bCs/>
          <w:lang w:eastAsia="it-IT"/>
        </w:rPr>
        <w:t>un sostegno sostanziale alla ripresa dei consumi</w:t>
      </w:r>
      <w:r w:rsidRPr="00F15CC0">
        <w:rPr>
          <w:rFonts w:ascii="Calibri" w:eastAsia="Times New Roman" w:hAnsi="Calibri" w:cs="Calibri"/>
          <w:lang w:eastAsia="it-IT"/>
        </w:rPr>
        <w:t>. A sua volta, ciò dovrebbe sostenere gli utili in molti settori dell'economia</w:t>
      </w:r>
      <w:r>
        <w:rPr>
          <w:rFonts w:ascii="Calibri" w:eastAsia="Times New Roman" w:hAnsi="Calibri" w:cs="Calibri"/>
          <w:lang w:eastAsia="it-IT"/>
        </w:rPr>
        <w:t xml:space="preserve"> locale</w:t>
      </w:r>
      <w:r w:rsidRPr="00F15CC0">
        <w:rPr>
          <w:rFonts w:ascii="Calibri" w:eastAsia="Times New Roman" w:hAnsi="Calibri" w:cs="Calibri"/>
          <w:lang w:eastAsia="it-IT"/>
        </w:rPr>
        <w:t xml:space="preserve">. Tuttavia, l'uscita dalla politica di </w:t>
      </w:r>
      <w:r>
        <w:rPr>
          <w:rFonts w:ascii="Calibri" w:eastAsia="Times New Roman" w:hAnsi="Calibri" w:cs="Calibri"/>
          <w:lang w:eastAsia="it-IT"/>
        </w:rPr>
        <w:t>“</w:t>
      </w:r>
      <w:r w:rsidRPr="00F15CC0">
        <w:rPr>
          <w:rFonts w:ascii="Calibri" w:eastAsia="Times New Roman" w:hAnsi="Calibri" w:cs="Calibri"/>
          <w:lang w:eastAsia="it-IT"/>
        </w:rPr>
        <w:t>zero Covid</w:t>
      </w:r>
      <w:r>
        <w:rPr>
          <w:rFonts w:ascii="Calibri" w:eastAsia="Times New Roman" w:hAnsi="Calibri" w:cs="Calibri"/>
          <w:lang w:eastAsia="it-IT"/>
        </w:rPr>
        <w:t>”</w:t>
      </w:r>
      <w:r w:rsidRPr="00F15CC0">
        <w:rPr>
          <w:rFonts w:ascii="Calibri" w:eastAsia="Times New Roman" w:hAnsi="Calibri" w:cs="Calibri"/>
          <w:lang w:eastAsia="it-IT"/>
        </w:rPr>
        <w:t xml:space="preserve"> rimane un rischio in presenza di nuovi focolai del virus e, di conseguenza, lo slancio economico potrebbe essere volatile.</w:t>
      </w:r>
    </w:p>
    <w:p w14:paraId="38CA04B8" w14:textId="31BE4249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Il governo si è anche mosso per sostenere ulteriormente il mercato immobiliare. Tuttavia, le vendite di immobili dovranno migliorare </w:t>
      </w:r>
      <w:r>
        <w:rPr>
          <w:rFonts w:ascii="Calibri" w:eastAsia="Times New Roman" w:hAnsi="Calibri" w:cs="Calibri"/>
          <w:lang w:eastAsia="it-IT"/>
        </w:rPr>
        <w:t>affinché</w:t>
      </w:r>
      <w:r w:rsidRPr="00F15CC0">
        <w:rPr>
          <w:rFonts w:ascii="Calibri" w:eastAsia="Times New Roman" w:hAnsi="Calibri" w:cs="Calibri"/>
          <w:lang w:eastAsia="it-IT"/>
        </w:rPr>
        <w:t xml:space="preserve"> il settore si riprenda completamente e, soprattutto, </w:t>
      </w:r>
      <w:r>
        <w:rPr>
          <w:rFonts w:ascii="Calibri" w:eastAsia="Times New Roman" w:hAnsi="Calibri" w:cs="Calibri"/>
          <w:lang w:eastAsia="it-IT"/>
        </w:rPr>
        <w:t>affinché</w:t>
      </w:r>
      <w:r w:rsidRPr="00F15CC0">
        <w:rPr>
          <w:rFonts w:ascii="Calibri" w:eastAsia="Times New Roman" w:hAnsi="Calibri" w:cs="Calibri"/>
          <w:lang w:eastAsia="it-IT"/>
        </w:rPr>
        <w:t xml:space="preserve"> gli investitori accettino che i rischi sistemici stanno diminuendo.</w:t>
      </w:r>
    </w:p>
    <w:p w14:paraId="349D9EBF" w14:textId="6B01AC61" w:rsidR="00F15CC0" w:rsidRPr="00B40BE5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3E6F58">
        <w:rPr>
          <w:rFonts w:ascii="Calibri" w:eastAsia="Times New Roman" w:hAnsi="Calibri" w:cs="Calibri"/>
          <w:lang w:eastAsia="it-IT"/>
        </w:rPr>
        <w:t>Nonostante il recente rimbalzo, continuiamo a vedere un solido sostegno alle valutazioni dei titoli azionari in Cina e a Hong Kong</w:t>
      </w:r>
      <w:r w:rsidRPr="00F15CC0">
        <w:rPr>
          <w:rFonts w:ascii="Calibri" w:eastAsia="Times New Roman" w:hAnsi="Calibri" w:cs="Calibri"/>
          <w:lang w:eastAsia="it-IT"/>
        </w:rPr>
        <w:t>".</w:t>
      </w:r>
    </w:p>
    <w:p w14:paraId="6E2AC14B" w14:textId="28CBFFB6" w:rsidR="00F15CC0" w:rsidRPr="003E6F58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u w:val="single"/>
          <w:lang w:val="en-US" w:eastAsia="it-IT"/>
        </w:rPr>
      </w:pPr>
      <w:r w:rsidRPr="003E6F58">
        <w:rPr>
          <w:rFonts w:ascii="Calibri" w:eastAsia="Times New Roman" w:hAnsi="Calibri" w:cs="Calibri"/>
          <w:b/>
          <w:bCs/>
          <w:u w:val="single"/>
          <w:lang w:val="en-US" w:eastAsia="it-IT"/>
        </w:rPr>
        <w:t>Julia Ho, Head of Asian Macro, Fixed Income, Schroders</w:t>
      </w:r>
      <w:r w:rsidRPr="003E6F58">
        <w:rPr>
          <w:rFonts w:ascii="Calibri" w:eastAsia="Times New Roman" w:hAnsi="Calibri" w:cs="Calibri"/>
          <w:u w:val="single"/>
          <w:lang w:val="en-US" w:eastAsia="it-IT"/>
        </w:rPr>
        <w:t>:</w:t>
      </w:r>
    </w:p>
    <w:p w14:paraId="7946453E" w14:textId="695D09B2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"Dopo l'abbandono della politica cinese di </w:t>
      </w:r>
      <w:r>
        <w:rPr>
          <w:rFonts w:ascii="Calibri" w:eastAsia="Times New Roman" w:hAnsi="Calibri" w:cs="Calibri"/>
          <w:lang w:eastAsia="it-IT"/>
        </w:rPr>
        <w:t>“</w:t>
      </w:r>
      <w:r w:rsidRPr="00F15CC0">
        <w:rPr>
          <w:rFonts w:ascii="Calibri" w:eastAsia="Times New Roman" w:hAnsi="Calibri" w:cs="Calibri"/>
          <w:lang w:eastAsia="it-IT"/>
        </w:rPr>
        <w:t>zero Covid</w:t>
      </w:r>
      <w:r>
        <w:rPr>
          <w:rFonts w:ascii="Calibri" w:eastAsia="Times New Roman" w:hAnsi="Calibri" w:cs="Calibri"/>
          <w:lang w:eastAsia="it-IT"/>
        </w:rPr>
        <w:t>”</w:t>
      </w:r>
      <w:r w:rsidRPr="00F15CC0">
        <w:rPr>
          <w:rFonts w:ascii="Calibri" w:eastAsia="Times New Roman" w:hAnsi="Calibri" w:cs="Calibri"/>
          <w:lang w:eastAsia="it-IT"/>
        </w:rPr>
        <w:t xml:space="preserve">, la riapertura delle frontiere sarà un percorso accidentato. </w:t>
      </w:r>
      <w:r w:rsidRPr="003E6F58">
        <w:rPr>
          <w:rFonts w:ascii="Calibri" w:eastAsia="Times New Roman" w:hAnsi="Calibri" w:cs="Calibri"/>
          <w:b/>
          <w:bCs/>
          <w:lang w:eastAsia="it-IT"/>
        </w:rPr>
        <w:t>Siamo ottimisti sul fatto che la lenta normalizzazione del turismo in uscita dovrebbe contribuire a contenere il deterioramento della bilancia dei pagamenti e a stabilizzare il renminbi cinese</w:t>
      </w:r>
      <w:r w:rsidRPr="00F15CC0">
        <w:rPr>
          <w:rFonts w:ascii="Calibri" w:eastAsia="Times New Roman" w:hAnsi="Calibri" w:cs="Calibri"/>
          <w:lang w:eastAsia="it-IT"/>
        </w:rPr>
        <w:t>.</w:t>
      </w:r>
    </w:p>
    <w:p w14:paraId="5B80C00C" w14:textId="3149F085" w:rsidR="00F15CC0" w:rsidRPr="00F15CC0" w:rsidRDefault="00F15CC0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lang w:eastAsia="it-IT"/>
        </w:rPr>
      </w:pPr>
      <w:r w:rsidRPr="00F15CC0">
        <w:rPr>
          <w:rFonts w:ascii="Calibri" w:eastAsia="Times New Roman" w:hAnsi="Calibri" w:cs="Calibri"/>
          <w:lang w:eastAsia="it-IT"/>
        </w:rPr>
        <w:t xml:space="preserve">Questa stabilità valutaria, insieme a pressioni inflazionistiche contenute e a un ritmo modesto di ripresa economica, </w:t>
      </w:r>
      <w:r w:rsidRPr="003E6F58">
        <w:rPr>
          <w:rFonts w:ascii="Calibri" w:eastAsia="Times New Roman" w:hAnsi="Calibri" w:cs="Calibri"/>
          <w:b/>
          <w:bCs/>
          <w:lang w:eastAsia="it-IT"/>
        </w:rPr>
        <w:t>dovrebbe essere di buon auspicio per i titoli di Stato cinesi</w:t>
      </w:r>
      <w:r w:rsidRPr="00F15CC0">
        <w:rPr>
          <w:rFonts w:ascii="Calibri" w:eastAsia="Times New Roman" w:hAnsi="Calibri" w:cs="Calibri"/>
          <w:lang w:eastAsia="it-IT"/>
        </w:rPr>
        <w:t xml:space="preserve">, perché la politica monetaria può rimanere accomodante." </w:t>
      </w:r>
    </w:p>
    <w:p w14:paraId="1C074BB2" w14:textId="68E4E7D0" w:rsidR="00B40BE5" w:rsidRPr="00B40BE5" w:rsidRDefault="00B40BE5" w:rsidP="00F15CC0">
      <w:pPr>
        <w:shd w:val="clear" w:color="auto" w:fill="FFFFFF"/>
        <w:spacing w:after="120" w:line="264" w:lineRule="auto"/>
        <w:rPr>
          <w:rFonts w:ascii="Calibri" w:eastAsia="Times New Roman" w:hAnsi="Calibri" w:cs="Calibri"/>
          <w:u w:val="single"/>
          <w:lang w:val="en-US" w:eastAsia="it-IT"/>
        </w:rPr>
      </w:pPr>
      <w:r w:rsidRPr="00B40BE5">
        <w:rPr>
          <w:rFonts w:ascii="Calibri" w:eastAsia="Times New Roman" w:hAnsi="Calibri" w:cs="Calibri"/>
          <w:b/>
          <w:bCs/>
          <w:u w:val="single"/>
          <w:lang w:val="en-US" w:eastAsia="it-IT"/>
        </w:rPr>
        <w:t>Peng Fong Ng, Head of Credit, Asia</w:t>
      </w:r>
      <w:r w:rsidR="00F15CC0" w:rsidRPr="003E6F58">
        <w:rPr>
          <w:rFonts w:ascii="Calibri" w:eastAsia="Times New Roman" w:hAnsi="Calibri" w:cs="Calibri"/>
          <w:b/>
          <w:bCs/>
          <w:u w:val="single"/>
          <w:lang w:val="en-US" w:eastAsia="it-IT"/>
        </w:rPr>
        <w:t>, Schroders</w:t>
      </w:r>
      <w:r w:rsidRPr="00B40BE5">
        <w:rPr>
          <w:rFonts w:ascii="Calibri" w:eastAsia="Times New Roman" w:hAnsi="Calibri" w:cs="Calibri"/>
          <w:b/>
          <w:bCs/>
          <w:u w:val="single"/>
          <w:lang w:val="en-US" w:eastAsia="it-IT"/>
        </w:rPr>
        <w:t>:</w:t>
      </w:r>
    </w:p>
    <w:p w14:paraId="6D447723" w14:textId="4DA8692B" w:rsidR="00F15CC0" w:rsidRPr="00F15CC0" w:rsidRDefault="00F15CC0" w:rsidP="00F15CC0">
      <w:pPr>
        <w:spacing w:after="120" w:line="264" w:lineRule="auto"/>
        <w:rPr>
          <w:rFonts w:ascii="Calibri" w:hAnsi="Calibri" w:cs="Calibri"/>
        </w:rPr>
      </w:pPr>
      <w:r w:rsidRPr="00F15CC0">
        <w:rPr>
          <w:rFonts w:ascii="Calibri" w:hAnsi="Calibri" w:cs="Calibri"/>
        </w:rPr>
        <w:t>"</w:t>
      </w:r>
      <w:r w:rsidRPr="003E6F58">
        <w:rPr>
          <w:rFonts w:ascii="Calibri" w:hAnsi="Calibri" w:cs="Calibri"/>
          <w:b/>
          <w:bCs/>
        </w:rPr>
        <w:t>In tutta l'Asia, le valutazioni del credito sono interessanti e favoriamo i crediti investment grade</w:t>
      </w:r>
      <w:r w:rsidRPr="00F15CC0">
        <w:rPr>
          <w:rFonts w:ascii="Calibri" w:hAnsi="Calibri" w:cs="Calibri"/>
        </w:rPr>
        <w:t xml:space="preserve"> </w:t>
      </w:r>
      <w:r w:rsidRPr="003E6F58">
        <w:rPr>
          <w:rFonts w:ascii="Calibri" w:hAnsi="Calibri" w:cs="Calibri"/>
          <w:b/>
          <w:bCs/>
        </w:rPr>
        <w:t>asiatici</w:t>
      </w:r>
      <w:r w:rsidRPr="00F15CC0">
        <w:rPr>
          <w:rFonts w:ascii="Calibri" w:hAnsi="Calibri" w:cs="Calibri"/>
        </w:rPr>
        <w:t>. Questo segmento offre un interessante reddito corretto per il rischio</w:t>
      </w:r>
      <w:r>
        <w:rPr>
          <w:rFonts w:ascii="Calibri" w:hAnsi="Calibri" w:cs="Calibri"/>
        </w:rPr>
        <w:t>.</w:t>
      </w:r>
    </w:p>
    <w:p w14:paraId="769B69CE" w14:textId="0753DA96" w:rsidR="00F15CC0" w:rsidRPr="00F15CC0" w:rsidRDefault="00F15CC0" w:rsidP="00F15CC0">
      <w:pPr>
        <w:spacing w:after="120" w:line="264" w:lineRule="auto"/>
        <w:rPr>
          <w:rFonts w:ascii="Calibri" w:hAnsi="Calibri" w:cs="Calibri"/>
        </w:rPr>
      </w:pPr>
      <w:r w:rsidRPr="003E6F58">
        <w:rPr>
          <w:rFonts w:ascii="Calibri" w:hAnsi="Calibri" w:cs="Calibri"/>
          <w:b/>
          <w:bCs/>
        </w:rPr>
        <w:lastRenderedPageBreak/>
        <w:t>Il credito high yield asiatico rimane</w:t>
      </w:r>
      <w:r w:rsidRPr="00F15CC0">
        <w:rPr>
          <w:rFonts w:ascii="Calibri" w:hAnsi="Calibri" w:cs="Calibri"/>
        </w:rPr>
        <w:t xml:space="preserve"> </w:t>
      </w:r>
      <w:r w:rsidRPr="003E6F58">
        <w:rPr>
          <w:rFonts w:ascii="Calibri" w:hAnsi="Calibri" w:cs="Calibri"/>
          <w:b/>
          <w:bCs/>
        </w:rPr>
        <w:t>vulnerabile</w:t>
      </w:r>
      <w:r w:rsidRPr="00F15CC0">
        <w:rPr>
          <w:rFonts w:ascii="Calibri" w:hAnsi="Calibri" w:cs="Calibri"/>
        </w:rPr>
        <w:t xml:space="preserve">. Sarà fondamentale concentrarsi sulla liquidità e sulle posizioni di </w:t>
      </w:r>
      <w:proofErr w:type="spellStart"/>
      <w:r w:rsidRPr="00F15CC0">
        <w:rPr>
          <w:rFonts w:ascii="Calibri" w:hAnsi="Calibri" w:cs="Calibri"/>
        </w:rPr>
        <w:t>cashflow</w:t>
      </w:r>
      <w:proofErr w:type="spellEnd"/>
      <w:r w:rsidRPr="00F15CC0">
        <w:rPr>
          <w:rFonts w:ascii="Calibri" w:hAnsi="Calibri" w:cs="Calibri"/>
        </w:rPr>
        <w:t xml:space="preserve">. Ciò richiede un approccio selettivo, soprattutto per quanto riguarda l'immobiliare cinese. </w:t>
      </w:r>
    </w:p>
    <w:p w14:paraId="3BA96BD5" w14:textId="7D52EB91" w:rsidR="0028447C" w:rsidRPr="00F15CC0" w:rsidRDefault="00F15CC0" w:rsidP="00F15CC0">
      <w:pPr>
        <w:spacing w:after="120" w:line="264" w:lineRule="auto"/>
        <w:rPr>
          <w:rFonts w:ascii="Calibri" w:hAnsi="Calibri" w:cs="Calibri"/>
        </w:rPr>
      </w:pPr>
      <w:r w:rsidRPr="00F15CC0">
        <w:rPr>
          <w:rFonts w:ascii="Calibri" w:hAnsi="Calibri" w:cs="Calibri"/>
        </w:rPr>
        <w:t xml:space="preserve">Riteniamo che </w:t>
      </w:r>
      <w:r w:rsidRPr="003E6F58">
        <w:rPr>
          <w:rFonts w:ascii="Calibri" w:hAnsi="Calibri" w:cs="Calibri"/>
          <w:b/>
          <w:bCs/>
        </w:rPr>
        <w:t>la fase peggiore del rallentamento cinese sia probabilmente passat</w:t>
      </w:r>
      <w:r w:rsidR="003E6F58">
        <w:rPr>
          <w:rFonts w:ascii="Calibri" w:hAnsi="Calibri" w:cs="Calibri"/>
          <w:b/>
          <w:bCs/>
        </w:rPr>
        <w:t>a</w:t>
      </w:r>
      <w:r w:rsidRPr="00F15CC0">
        <w:rPr>
          <w:rFonts w:ascii="Calibri" w:hAnsi="Calibri" w:cs="Calibri"/>
        </w:rPr>
        <w:t xml:space="preserve">. Sebbene il percorso di ripresa della crescita possa essere volatile, vediamo delle opportunità in alcuni emittenti eccessivamente penalizzati, come alcuni </w:t>
      </w:r>
      <w:r>
        <w:rPr>
          <w:rFonts w:ascii="Calibri" w:hAnsi="Calibri" w:cs="Calibri"/>
        </w:rPr>
        <w:t>titoli</w:t>
      </w:r>
      <w:r w:rsidRPr="00F15CC0">
        <w:rPr>
          <w:rFonts w:ascii="Calibri" w:hAnsi="Calibri" w:cs="Calibri"/>
        </w:rPr>
        <w:t xml:space="preserve"> selezionati </w:t>
      </w:r>
      <w:r>
        <w:rPr>
          <w:rFonts w:ascii="Calibri" w:hAnsi="Calibri" w:cs="Calibri"/>
        </w:rPr>
        <w:t>nei settori tech</w:t>
      </w:r>
      <w:r w:rsidRPr="00F15CC0">
        <w:rPr>
          <w:rFonts w:ascii="Calibri" w:hAnsi="Calibri" w:cs="Calibri"/>
        </w:rPr>
        <w:t>, media e telecomunicazioni."</w:t>
      </w:r>
    </w:p>
    <w:sectPr w:rsidR="0028447C" w:rsidRPr="00F15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8265D"/>
    <w:multiLevelType w:val="multilevel"/>
    <w:tmpl w:val="C904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1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046"/>
    <w:rsid w:val="0028447C"/>
    <w:rsid w:val="00356596"/>
    <w:rsid w:val="003E6F58"/>
    <w:rsid w:val="00996046"/>
    <w:rsid w:val="00A03874"/>
    <w:rsid w:val="00B40BE5"/>
    <w:rsid w:val="00C73A46"/>
    <w:rsid w:val="00E16D2A"/>
    <w:rsid w:val="00F1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3B6F"/>
  <w15:chartTrackingRefBased/>
  <w15:docId w15:val="{C7BEFDEB-9985-4B99-9FF0-0C3CC5C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40B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0B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hidden-xs">
    <w:name w:val="hidden-xs"/>
    <w:basedOn w:val="Normale"/>
    <w:rsid w:val="00B4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e1">
    <w:name w:val="Date1"/>
    <w:basedOn w:val="Normale"/>
    <w:rsid w:val="00B4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opline">
    <w:name w:val="topline"/>
    <w:basedOn w:val="Normale"/>
    <w:rsid w:val="00B4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4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40BE5"/>
    <w:rPr>
      <w:b/>
      <w:bCs/>
    </w:rPr>
  </w:style>
  <w:style w:type="paragraph" w:styleId="Revisione">
    <w:name w:val="Revision"/>
    <w:hidden/>
    <w:uiPriority w:val="99"/>
    <w:semiHidden/>
    <w:rsid w:val="00A03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955">
          <w:marLeft w:val="-150"/>
          <w:marRight w:val="-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8988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2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Bosotti</dc:creator>
  <cp:keywords/>
  <dc:description/>
  <cp:lastModifiedBy>Diana Ferla</cp:lastModifiedBy>
  <cp:revision>5</cp:revision>
  <dcterms:created xsi:type="dcterms:W3CDTF">2023-01-20T14:50:00Z</dcterms:created>
  <dcterms:modified xsi:type="dcterms:W3CDTF">2023-01-23T08:58:00Z</dcterms:modified>
</cp:coreProperties>
</file>