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E" w:rsidRDefault="00273C86" w:rsidP="00AB450E">
      <w:pPr>
        <w:ind w:left="7080" w:firstLine="708"/>
        <w:jc w:val="center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57785</wp:posOffset>
            </wp:positionV>
            <wp:extent cx="2852420" cy="714375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FCB" w:rsidRDefault="001C0FCB" w:rsidP="001C0FCB">
      <w:pPr>
        <w:ind w:left="7080" w:firstLine="708"/>
        <w:jc w:val="both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C0FCB" w:rsidRDefault="001C0FCB" w:rsidP="00AB450E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273C86" w:rsidRDefault="00273C86" w:rsidP="00512869">
      <w:pPr>
        <w:rPr>
          <w:rFonts w:ascii="Cambria" w:hAnsi="Cambria" w:cs="Tahoma"/>
          <w:i/>
          <w:iCs/>
          <w:sz w:val="16"/>
          <w:szCs w:val="16"/>
        </w:rPr>
      </w:pP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16772F" w:rsidRPr="00FE77EB" w:rsidRDefault="00AB450E" w:rsidP="00FE77EB">
      <w:pPr>
        <w:ind w:left="7080" w:firstLine="8"/>
        <w:jc w:val="center"/>
        <w:rPr>
          <w:rFonts w:ascii="Cambria" w:hAnsi="Cambria" w:cs="Tahoma"/>
          <w:i/>
          <w:iCs/>
        </w:rPr>
      </w:pPr>
      <w:r w:rsidRPr="00FE77EB">
        <w:rPr>
          <w:rFonts w:ascii="Cambria" w:hAnsi="Cambria" w:cs="Tahoma"/>
          <w:i/>
          <w:iCs/>
        </w:rPr>
        <w:t xml:space="preserve">Roma, </w:t>
      </w:r>
      <w:r w:rsidR="00D06A03">
        <w:rPr>
          <w:rFonts w:ascii="Cambria" w:hAnsi="Cambria" w:cs="Tahoma"/>
          <w:i/>
          <w:iCs/>
        </w:rPr>
        <w:t>4 gennaio 2023</w:t>
      </w:r>
    </w:p>
    <w:p w:rsidR="00FE77EB" w:rsidRDefault="00FE77EB" w:rsidP="00F9580C">
      <w:pPr>
        <w:ind w:left="7080" w:firstLine="708"/>
        <w:jc w:val="center"/>
        <w:rPr>
          <w:rFonts w:ascii="Cambria" w:hAnsi="Cambria" w:cs="Tahoma"/>
          <w:i/>
          <w:iCs/>
          <w:sz w:val="16"/>
          <w:szCs w:val="16"/>
        </w:rPr>
      </w:pPr>
    </w:p>
    <w:p w:rsidR="00D06A03" w:rsidRPr="001A6804" w:rsidRDefault="00D06A03" w:rsidP="00D06A03">
      <w:pPr>
        <w:jc w:val="center"/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</w:pPr>
      <w:r w:rsidRPr="009258F9"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  <w:t>MERCATO AUTO</w:t>
      </w:r>
      <w:r w:rsidRPr="001A6804"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  <w:t xml:space="preserve"> 2022</w:t>
      </w:r>
    </w:p>
    <w:p w:rsidR="00D06A03" w:rsidRDefault="00D06A03" w:rsidP="00D06A03">
      <w:pPr>
        <w:pBdr>
          <w:bottom w:val="single" w:sz="4" w:space="1" w:color="auto"/>
        </w:pBdr>
        <w:jc w:val="center"/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</w:pPr>
      <w:r w:rsidRPr="001A6804"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  <w:t>USATO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  <w:t xml:space="preserve"> IN CALO:</w:t>
      </w:r>
    </w:p>
    <w:p w:rsidR="00D06A03" w:rsidRPr="001A6804" w:rsidRDefault="00D06A03" w:rsidP="00D06A03">
      <w:pPr>
        <w:pBdr>
          <w:bottom w:val="single" w:sz="4" w:space="1" w:color="auto"/>
        </w:pBdr>
        <w:jc w:val="center"/>
        <w:rPr>
          <w:rFonts w:ascii="Cambria" w:eastAsia="Cambria" w:hAnsi="Cambria" w:cs="Cambria"/>
          <w:b/>
          <w:bCs/>
          <w:color w:val="003366"/>
          <w:sz w:val="28"/>
          <w:szCs w:val="28"/>
          <w:bdr w:val="nil"/>
        </w:rPr>
      </w:pPr>
      <w:r w:rsidRPr="001A6804">
        <w:rPr>
          <w:rFonts w:ascii="Cambria" w:eastAsia="Cambria" w:hAnsi="Cambria" w:cs="Cambria"/>
          <w:b/>
          <w:bCs/>
          <w:color w:val="003366"/>
          <w:sz w:val="28"/>
          <w:szCs w:val="28"/>
          <w:bdr w:val="nil"/>
        </w:rPr>
        <w:t xml:space="preserve">AUTO -10,2%, MOTO -4,9%, VEICOLI -8,3% </w:t>
      </w:r>
    </w:p>
    <w:p w:rsidR="00D06A03" w:rsidRDefault="00D06A03" w:rsidP="00D06A03">
      <w:pPr>
        <w:pBdr>
          <w:bottom w:val="single" w:sz="4" w:space="1" w:color="auto"/>
        </w:pBdr>
        <w:jc w:val="center"/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</w:pPr>
      <w:r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  <w:t>NUOVO</w:t>
      </w:r>
      <w:r w:rsidRPr="001A6804"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  <w:t xml:space="preserve"> IN CRISI</w:t>
      </w:r>
      <w:r>
        <w:rPr>
          <w:rFonts w:ascii="Cambria" w:eastAsia="Cambria" w:hAnsi="Cambria" w:cs="Cambria"/>
          <w:b/>
          <w:bCs/>
          <w:color w:val="003366"/>
          <w:sz w:val="32"/>
          <w:szCs w:val="32"/>
          <w:bdr w:val="nil"/>
        </w:rPr>
        <w:t>:</w:t>
      </w:r>
    </w:p>
    <w:p w:rsidR="00D06A03" w:rsidRPr="009258F9" w:rsidRDefault="00D06A03" w:rsidP="00D06A03">
      <w:pPr>
        <w:pBdr>
          <w:bottom w:val="single" w:sz="4" w:space="1" w:color="auto"/>
        </w:pBdr>
        <w:jc w:val="center"/>
        <w:rPr>
          <w:rFonts w:ascii="Cambria" w:eastAsia="Cambria" w:hAnsi="Cambria" w:cs="Cambria"/>
          <w:b/>
          <w:bCs/>
          <w:color w:val="003366"/>
          <w:sz w:val="28"/>
          <w:szCs w:val="28"/>
          <w:bdr w:val="nil"/>
        </w:rPr>
      </w:pPr>
      <w:r w:rsidRPr="001A6804">
        <w:rPr>
          <w:rFonts w:ascii="Cambria" w:eastAsia="Cambria" w:hAnsi="Cambria" w:cs="Cambria"/>
          <w:b/>
          <w:bCs/>
          <w:color w:val="003366"/>
          <w:sz w:val="28"/>
          <w:szCs w:val="28"/>
          <w:bdr w:val="nil"/>
        </w:rPr>
        <w:t>DIESEL -24%, BENZINA -21,8%, ELETTRICO –29,2%</w:t>
      </w:r>
    </w:p>
    <w:p w:rsidR="00D06A03" w:rsidRPr="009258F9" w:rsidRDefault="00D06A03" w:rsidP="00D06A03">
      <w:pPr>
        <w:jc w:val="center"/>
        <w:rPr>
          <w:rFonts w:ascii="Cambria" w:eastAsia="Cambria" w:hAnsi="Cambria" w:cs="Cambria"/>
          <w:b/>
          <w:bCs/>
          <w:color w:val="003366"/>
          <w:sz w:val="16"/>
          <w:szCs w:val="16"/>
          <w:u w:val="single" w:color="003366"/>
          <w:bdr w:val="nil"/>
        </w:rPr>
      </w:pP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C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USATO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FF0000"/>
          <w:sz w:val="20"/>
          <w:szCs w:val="2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i/>
          <w:iCs/>
          <w:color w:val="FF0000"/>
          <w:sz w:val="20"/>
          <w:szCs w:val="20"/>
          <w:u w:color="800000"/>
          <w:bdr w:val="nil"/>
        </w:rPr>
        <w:t>DICEMBRE 2022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AUTO -4,1%, MOTO +0,8%, VEICOLI -3,2%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FF0000"/>
          <w:sz w:val="20"/>
          <w:szCs w:val="2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i/>
          <w:iCs/>
          <w:color w:val="FF0000"/>
          <w:sz w:val="20"/>
          <w:szCs w:val="20"/>
          <w:u w:color="800000"/>
          <w:bdr w:val="nil"/>
        </w:rPr>
        <w:t>ANNO 2022</w:t>
      </w:r>
      <w:r w:rsidRPr="007917B5">
        <w:rPr>
          <w:rFonts w:ascii="Cambria" w:eastAsia="Arial Unicode MS" w:hAnsi="Cambria" w:cs="Arial Unicode MS"/>
          <w:b/>
          <w:bCs/>
          <w:color w:val="FF0000"/>
          <w:sz w:val="20"/>
          <w:szCs w:val="20"/>
          <w:u w:color="800000"/>
          <w:bdr w:val="nil"/>
        </w:rPr>
        <w:t xml:space="preserve"> 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 xml:space="preserve">AUTO -10,2%, MOTO -4,9%, VEICOLI -8,3% </w:t>
      </w:r>
    </w:p>
    <w:p w:rsidR="00D06A03" w:rsidRPr="007917B5" w:rsidRDefault="00D06A03" w:rsidP="00D06A03">
      <w:pPr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C00000"/>
          <w:u w:color="800000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PRIME ISCRIZIONI-ALIMENTAZIONI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FF0000"/>
          <w:sz w:val="20"/>
          <w:szCs w:val="2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i/>
          <w:iCs/>
          <w:color w:val="FF0000"/>
          <w:sz w:val="20"/>
          <w:szCs w:val="20"/>
          <w:u w:color="800000"/>
          <w:bdr w:val="nil"/>
        </w:rPr>
        <w:t>DICEMBRE 2022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Ibride a benzina +38,9%: quota = 35,2%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 xml:space="preserve">diesel +32,2%: quota = 20,5% 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benzina +18,7%: quota = 25,5%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elettrico -24,3; quota = 4%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sz w:val="20"/>
          <w:szCs w:val="2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i/>
          <w:iCs/>
          <w:color w:val="FF0000"/>
          <w:sz w:val="20"/>
          <w:szCs w:val="20"/>
          <w:u w:color="800000"/>
          <w:bdr w:val="nil"/>
        </w:rPr>
        <w:t>ANNO 2022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Ibride a benzina +7,6%: quota = 34,2%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diesel -24%: quota = 19,6%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benzina -21,8%: quota = 28,2%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elettrico –29,2%: quota = 3,7%</w:t>
      </w: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</w:p>
    <w:p w:rsidR="00D06A03" w:rsidRPr="007917B5" w:rsidRDefault="00D06A03" w:rsidP="00D06A03">
      <w:pPr>
        <w:jc w:val="center"/>
        <w:rPr>
          <w:rFonts w:ascii="Cambria" w:eastAsia="Arial Unicode MS" w:hAnsi="Cambria" w:cs="Arial Unicode MS"/>
          <w:b/>
          <w:bCs/>
          <w:color w:val="C00000"/>
          <w:u w:color="800000"/>
          <w:bdr w:val="single" w:sz="4" w:space="0" w:color="auto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RADIAZIONI</w:t>
      </w:r>
    </w:p>
    <w:p w:rsidR="00D06A03" w:rsidRPr="007917B5" w:rsidRDefault="00D06A03" w:rsidP="00D06A03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jc w:val="center"/>
        <w:rPr>
          <w:rFonts w:ascii="Cambria" w:eastAsia="Arial Unicode MS" w:hAnsi="Cambria" w:cs="Arial Unicode MS"/>
          <w:b/>
          <w:bCs/>
          <w:color w:val="FF0000"/>
          <w:sz w:val="20"/>
          <w:szCs w:val="2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i/>
          <w:iCs/>
          <w:color w:val="FF0000"/>
          <w:sz w:val="20"/>
          <w:szCs w:val="20"/>
          <w:u w:color="800000"/>
          <w:bdr w:val="nil"/>
        </w:rPr>
        <w:t>DICEMBRE 2022</w:t>
      </w:r>
    </w:p>
    <w:p w:rsidR="00D06A03" w:rsidRPr="007917B5" w:rsidRDefault="00D06A03" w:rsidP="00D06A03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AUTO -27,5%, MOTO -10,1%, VEICOLI -25,5%</w:t>
      </w:r>
    </w:p>
    <w:p w:rsidR="00D06A03" w:rsidRPr="007917B5" w:rsidRDefault="00D06A03" w:rsidP="00D06A03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 xml:space="preserve">Tasso unitario di sostituzione = 0,72 </w:t>
      </w:r>
    </w:p>
    <w:p w:rsidR="00D06A03" w:rsidRPr="007917B5" w:rsidRDefault="00D06A03" w:rsidP="00D06A03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jc w:val="center"/>
        <w:rPr>
          <w:rFonts w:ascii="Cambria" w:eastAsia="Arial Unicode MS" w:hAnsi="Cambria" w:cs="Arial Unicode MS"/>
          <w:b/>
          <w:bCs/>
          <w:i/>
          <w:iCs/>
          <w:color w:val="FF0000"/>
          <w:sz w:val="20"/>
          <w:szCs w:val="2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i/>
          <w:iCs/>
          <w:color w:val="FF0000"/>
          <w:sz w:val="20"/>
          <w:szCs w:val="20"/>
          <w:u w:color="800000"/>
          <w:bdr w:val="nil"/>
        </w:rPr>
        <w:t>ANNO 2022</w:t>
      </w:r>
    </w:p>
    <w:p w:rsidR="00D06A03" w:rsidRPr="007917B5" w:rsidRDefault="00D06A03" w:rsidP="00D06A03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AUTO -29,5%, MOTO -3,8%, VEICOLI -27%</w:t>
      </w:r>
    </w:p>
    <w:p w:rsidR="00D06A03" w:rsidRPr="00D95009" w:rsidRDefault="00D06A03" w:rsidP="00D06A03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jc w:val="center"/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</w:pPr>
      <w:r w:rsidRPr="007917B5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>Tasso unitario di sostituzione = 0,79</w:t>
      </w:r>
      <w:r w:rsidRPr="00D95009">
        <w:rPr>
          <w:rFonts w:ascii="Cambria" w:eastAsia="Arial Unicode MS" w:hAnsi="Cambria" w:cs="Arial Unicode MS"/>
          <w:b/>
          <w:bCs/>
          <w:color w:val="800000"/>
          <w:u w:color="800000"/>
          <w:bdr w:val="nil"/>
        </w:rPr>
        <w:t xml:space="preserve"> </w:t>
      </w:r>
    </w:p>
    <w:p w:rsidR="00D06A03" w:rsidRDefault="00D06A03" w:rsidP="00D06A03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rPr>
          <w:rFonts w:ascii="Cambria" w:eastAsia="Arial Unicode MS" w:hAnsi="Cambria" w:cs="Arial Unicode MS"/>
          <w:b/>
          <w:bCs/>
          <w:color w:val="800000"/>
          <w:sz w:val="28"/>
          <w:szCs w:val="28"/>
          <w:u w:color="800000"/>
          <w:bdr w:val="nil"/>
        </w:rPr>
      </w:pPr>
    </w:p>
    <w:p w:rsidR="00D06A03" w:rsidRDefault="00D06A03" w:rsidP="001426B0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contextualSpacing/>
        <w:jc w:val="both"/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</w:pPr>
      <w:r w:rsidRPr="00683F03"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>Tutt’altro che rassicurant</w:t>
      </w:r>
      <w:r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>e lo stato di salute</w:t>
      </w:r>
      <w:r w:rsidRPr="00683F03"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 del mercato auto </w:t>
      </w:r>
      <w:r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italiano </w:t>
      </w:r>
      <w:r w:rsidRPr="00683F03"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>2022</w:t>
      </w:r>
      <w:r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>.</w:t>
      </w:r>
      <w:r w:rsidRPr="00683F03"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 </w:t>
      </w:r>
    </w:p>
    <w:p w:rsidR="00D06A03" w:rsidRDefault="00D06A03" w:rsidP="001426B0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contextualSpacing/>
        <w:jc w:val="both"/>
        <w:rPr>
          <w:rFonts w:ascii="Cambria" w:eastAsia="Arial Unicode MS" w:hAnsi="Cambria" w:cs="Arial Unicode MS"/>
          <w:color w:val="000000" w:themeColor="text1"/>
          <w:u w:color="800000"/>
          <w:bdr w:val="nil"/>
        </w:rPr>
      </w:pPr>
      <w:r w:rsidRPr="00683F03">
        <w:rPr>
          <w:rFonts w:ascii="Cambria" w:eastAsia="Arial Unicode MS" w:hAnsi="Cambria" w:cs="Arial Unicode MS"/>
          <w:color w:val="000000" w:themeColor="text1"/>
          <w:u w:color="800000"/>
          <w:bdr w:val="nil"/>
        </w:rPr>
        <w:t>Secondo l’ultimo bollettino mensile</w:t>
      </w:r>
      <w:r w:rsidRPr="00683F03"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 “Auto-Trend”</w:t>
      </w:r>
      <w:r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 -</w:t>
      </w:r>
      <w:r w:rsidRPr="00683F03"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 </w:t>
      </w:r>
      <w:r w:rsidRPr="00683F03">
        <w:rPr>
          <w:rFonts w:ascii="Cambria" w:eastAsia="Arial Unicode MS" w:hAnsi="Cambria" w:cs="Arial Unicode MS"/>
          <w:color w:val="000000" w:themeColor="text1"/>
          <w:u w:color="800000"/>
          <w:bdr w:val="nil"/>
        </w:rPr>
        <w:t>l’analisi statistica realizzata dall’Automobile Club d’Italia sui dati del PRA</w:t>
      </w:r>
      <w:r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 – l’usato risulta in calo </w:t>
      </w:r>
      <w:r w:rsidRPr="002B4B68">
        <w:rPr>
          <w:rFonts w:ascii="Cambria" w:eastAsia="Arial Unicode MS" w:hAnsi="Cambria" w:cs="Arial Unicode MS"/>
          <w:color w:val="000000" w:themeColor="text1"/>
          <w:u w:color="800000"/>
          <w:bdr w:val="nil"/>
        </w:rPr>
        <w:t>(auto -10,2%, moto -4,9%, veicoli -8,3%)</w:t>
      </w:r>
      <w:r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 e il nuovo in seria crisi </w:t>
      </w:r>
      <w:r w:rsidRPr="002B4B68">
        <w:rPr>
          <w:rFonts w:ascii="Cambria" w:eastAsia="Arial Unicode MS" w:hAnsi="Cambria" w:cs="Arial Unicode MS"/>
          <w:color w:val="000000" w:themeColor="text1"/>
          <w:u w:color="800000"/>
          <w:bdr w:val="nil"/>
        </w:rPr>
        <w:t>(elettrico –29,2%, diesel -24%, benzina -21,8%).</w:t>
      </w:r>
      <w:r>
        <w:rPr>
          <w:rFonts w:ascii="Cambria" w:eastAsia="Arial Unicode MS" w:hAnsi="Cambria" w:cs="Arial Unicode MS"/>
          <w:b/>
          <w:bCs/>
          <w:color w:val="000000" w:themeColor="text1"/>
          <w:u w:color="800000"/>
          <w:bdr w:val="nil"/>
        </w:rPr>
        <w:t xml:space="preserve"> </w:t>
      </w:r>
      <w:r w:rsidRPr="002B4B68">
        <w:rPr>
          <w:rFonts w:ascii="Cambria" w:eastAsia="Arial Unicode MS" w:hAnsi="Cambria" w:cs="Arial Unicode MS"/>
          <w:color w:val="000000" w:themeColor="text1"/>
          <w:u w:color="800000"/>
          <w:bdr w:val="nil"/>
        </w:rPr>
        <w:t>Unico segmento in controtendenza quello delle ibride a benzina, che fa segnare un confortante +7,6%.</w:t>
      </w:r>
      <w:r>
        <w:rPr>
          <w:rFonts w:ascii="Cambria" w:eastAsia="Arial Unicode MS" w:hAnsi="Cambria" w:cs="Arial Unicode MS"/>
          <w:color w:val="000000" w:themeColor="text1"/>
          <w:u w:color="800000"/>
          <w:bdr w:val="nil"/>
        </w:rPr>
        <w:t xml:space="preserve"> </w:t>
      </w:r>
    </w:p>
    <w:p w:rsidR="00D06A03" w:rsidRPr="002B4B68" w:rsidRDefault="00D06A03" w:rsidP="001426B0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contextualSpacing/>
        <w:jc w:val="both"/>
        <w:rPr>
          <w:rFonts w:ascii="Cambria" w:eastAsia="Arial Unicode MS" w:hAnsi="Cambria" w:cs="Arial Unicode MS"/>
          <w:color w:val="000000" w:themeColor="text1"/>
          <w:u w:color="800000"/>
          <w:bdr w:val="nil"/>
        </w:rPr>
      </w:pPr>
      <w:r>
        <w:rPr>
          <w:rFonts w:ascii="Cambria" w:eastAsia="Arial Unicode MS" w:hAnsi="Cambria" w:cs="Arial Unicode MS"/>
          <w:color w:val="000000" w:themeColor="text1"/>
          <w:u w:color="800000"/>
          <w:bdr w:val="nil"/>
        </w:rPr>
        <w:t xml:space="preserve">Di seguito alcune tra le evidenze più significative dello studio ACI, consultabile su </w:t>
      </w:r>
      <w:hyperlink r:id="rId8" w:history="1">
        <w:r w:rsidRPr="00683F03">
          <w:rPr>
            <w:rStyle w:val="Collegamentoipertestuale"/>
            <w:rFonts w:ascii="Cambria" w:eastAsia="Arial Unicode MS" w:hAnsi="Cambria" w:cs="Arial Unicode MS"/>
            <w:bdr w:val="nil"/>
          </w:rPr>
          <w:t>www.aci.it</w:t>
        </w:r>
      </w:hyperlink>
      <w:r>
        <w:rPr>
          <w:rFonts w:ascii="Cambria" w:eastAsia="Arial Unicode MS" w:hAnsi="Cambria" w:cs="Arial Unicode MS"/>
          <w:color w:val="000000" w:themeColor="text1"/>
          <w:u w:color="800000"/>
          <w:bdr w:val="nil"/>
        </w:rPr>
        <w:t>.</w:t>
      </w:r>
    </w:p>
    <w:p w:rsidR="00D06A03" w:rsidRDefault="00D06A03" w:rsidP="001426B0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contextualSpacing/>
        <w:jc w:val="both"/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</w:pPr>
    </w:p>
    <w:p w:rsidR="00D06A03" w:rsidRPr="00683F03" w:rsidRDefault="00D06A03" w:rsidP="001426B0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contextualSpacing/>
        <w:jc w:val="both"/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</w:pPr>
      <w:r w:rsidRPr="00683F03"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  <w:t xml:space="preserve">TRASFERIMENTI </w:t>
      </w:r>
      <w:proofErr w:type="spellStart"/>
      <w:r w:rsidRPr="00683F03"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  <w:t>DI</w:t>
      </w:r>
      <w:proofErr w:type="spellEnd"/>
      <w:r w:rsidRPr="00683F03"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  <w:t xml:space="preserve"> PRO</w:t>
      </w:r>
      <w:r w:rsidR="00373CB5"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  <w:t>P</w:t>
      </w:r>
      <w:r w:rsidRPr="00683F03"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  <w:t>RIETÀ</w:t>
      </w:r>
    </w:p>
    <w:p w:rsidR="00D06A03" w:rsidRPr="00683F03" w:rsidRDefault="00D06A03" w:rsidP="001426B0">
      <w:pPr>
        <w:pStyle w:val="Corpodeltesto1"/>
        <w:spacing w:line="240" w:lineRule="auto"/>
        <w:contextualSpacing/>
        <w:rPr>
          <w:rFonts w:ascii="Cambria" w:hAnsi="Cambria" w:cstheme="minorHAnsi"/>
          <w:sz w:val="10"/>
          <w:szCs w:val="10"/>
        </w:rPr>
      </w:pPr>
      <w:r w:rsidRPr="00683F03">
        <w:rPr>
          <w:rFonts w:ascii="Cambria" w:hAnsi="Cambria" w:cstheme="minorHAnsi"/>
        </w:rPr>
        <w:t xml:space="preserve">Fine anno ancora sotto il segno meno per i </w:t>
      </w:r>
      <w:r w:rsidRPr="00683F03">
        <w:rPr>
          <w:rFonts w:ascii="Cambria" w:hAnsi="Cambria" w:cstheme="minorHAnsi"/>
          <w:b/>
          <w:iCs/>
        </w:rPr>
        <w:t xml:space="preserve">passaggi di proprietà di </w:t>
      </w:r>
      <w:r w:rsidRPr="00683F03">
        <w:rPr>
          <w:rFonts w:ascii="Cambria" w:hAnsi="Cambria" w:cstheme="minorHAnsi"/>
          <w:b/>
          <w:iCs/>
          <w:color w:val="FF0000"/>
        </w:rPr>
        <w:t>autovetture</w:t>
      </w:r>
      <w:r w:rsidRPr="00683F03">
        <w:rPr>
          <w:rFonts w:ascii="Cambria" w:hAnsi="Cambria" w:cstheme="minorHAnsi"/>
          <w:b/>
          <w:iCs/>
        </w:rPr>
        <w:t>, depurati dalle</w:t>
      </w:r>
      <w:r w:rsidRPr="00683F03">
        <w:rPr>
          <w:rFonts w:ascii="Cambria" w:hAnsi="Cambria" w:cstheme="minorHAnsi"/>
          <w:b/>
          <w:i/>
        </w:rPr>
        <w:t xml:space="preserve"> minivolture </w:t>
      </w:r>
      <w:r w:rsidRPr="00683F03">
        <w:rPr>
          <w:rFonts w:ascii="Cambria" w:hAnsi="Cambria" w:cstheme="minorHAnsi"/>
        </w:rPr>
        <w:t>(</w:t>
      </w:r>
      <w:r w:rsidRPr="00683F03">
        <w:rPr>
          <w:rFonts w:ascii="Cambria" w:hAnsi="Cambria" w:cstheme="minorHAnsi"/>
          <w:i/>
          <w:iCs/>
        </w:rPr>
        <w:t>i trasferimenti temporanei a nome del concessionario in attesa della rivendita al cliente finale</w:t>
      </w:r>
      <w:r w:rsidRPr="00683F03">
        <w:rPr>
          <w:rFonts w:ascii="Cambria" w:hAnsi="Cambria" w:cstheme="minorHAnsi"/>
        </w:rPr>
        <w:t xml:space="preserve">). </w:t>
      </w:r>
      <w:r w:rsidRPr="00683F03">
        <w:rPr>
          <w:rFonts w:ascii="Cambria" w:hAnsi="Cambria" w:cstheme="minorHAnsi"/>
          <w:b/>
          <w:bCs/>
        </w:rPr>
        <w:t>A dicembre 2022</w:t>
      </w:r>
      <w:r w:rsidRPr="00683F03">
        <w:rPr>
          <w:rFonts w:ascii="Cambria" w:hAnsi="Cambria" w:cstheme="minorHAnsi"/>
        </w:rPr>
        <w:t xml:space="preserve"> - rispetto allo stesso mese dell’anno precedente – </w:t>
      </w:r>
      <w:r w:rsidRPr="00683F03">
        <w:rPr>
          <w:rFonts w:ascii="Cambria" w:hAnsi="Cambria" w:cstheme="minorHAnsi"/>
          <w:b/>
          <w:bCs/>
        </w:rPr>
        <w:t>la variazione negativa è stata</w:t>
      </w:r>
      <w:r w:rsidRPr="00683F03">
        <w:rPr>
          <w:rFonts w:ascii="Cambria" w:hAnsi="Cambria" w:cstheme="minorHAnsi"/>
        </w:rPr>
        <w:t xml:space="preserve"> </w:t>
      </w:r>
      <w:r w:rsidRPr="00683F03">
        <w:rPr>
          <w:rFonts w:ascii="Cambria" w:hAnsi="Cambria" w:cstheme="minorHAnsi"/>
          <w:b/>
        </w:rPr>
        <w:t>del 4,1%</w:t>
      </w:r>
      <w:r w:rsidRPr="00683F03">
        <w:rPr>
          <w:rFonts w:ascii="Cambria" w:hAnsi="Cambria" w:cstheme="minorHAnsi"/>
        </w:rPr>
        <w:t xml:space="preserve">. In numeri assoluti: 228.281 passaggi di proprietà, contro i 238.062 del dicembre 2021. </w:t>
      </w:r>
      <w:r w:rsidRPr="00683F03">
        <w:rPr>
          <w:rFonts w:ascii="Cambria" w:hAnsi="Cambria" w:cstheme="minorHAnsi"/>
          <w:b/>
          <w:bCs/>
        </w:rPr>
        <w:t>A parità di giornate lavorative</w:t>
      </w:r>
      <w:r w:rsidRPr="00683F03">
        <w:rPr>
          <w:rFonts w:ascii="Cambria" w:hAnsi="Cambria" w:cstheme="minorHAnsi"/>
        </w:rPr>
        <w:t xml:space="preserve">, però, </w:t>
      </w:r>
      <w:r w:rsidRPr="00683F03">
        <w:rPr>
          <w:rFonts w:ascii="Cambria" w:hAnsi="Cambria" w:cstheme="minorHAnsi"/>
          <w:b/>
          <w:bCs/>
        </w:rPr>
        <w:t>la media giornaliera del dicembre 2022 risulta superiore del 5,5% a quella dello stesso mese dell’anno precedente</w:t>
      </w:r>
      <w:r w:rsidRPr="00683F03">
        <w:rPr>
          <w:rFonts w:ascii="Cambria" w:hAnsi="Cambria" w:cstheme="minorHAnsi"/>
        </w:rPr>
        <w:t>, che aveva goduto di due giornate lavorative in più.</w:t>
      </w:r>
    </w:p>
    <w:p w:rsidR="00D06A03" w:rsidRPr="00683F03" w:rsidRDefault="00D06A03" w:rsidP="001426B0">
      <w:pPr>
        <w:pStyle w:val="Corpodeltesto1"/>
        <w:spacing w:line="240" w:lineRule="auto"/>
        <w:contextualSpacing/>
        <w:rPr>
          <w:rFonts w:ascii="Cambria" w:hAnsi="Cambria" w:cstheme="minorHAnsi"/>
          <w:sz w:val="10"/>
          <w:szCs w:val="10"/>
        </w:rPr>
      </w:pPr>
      <w:r w:rsidRPr="00683F03">
        <w:rPr>
          <w:rFonts w:ascii="Cambria" w:hAnsi="Cambria" w:cstheme="minorHAnsi"/>
          <w:b/>
          <w:bCs/>
        </w:rPr>
        <w:lastRenderedPageBreak/>
        <w:t>Più lieve (-1,1%) la contrazione dei trasferimenti di autovetture al lordo delle minivolture</w:t>
      </w:r>
      <w:r w:rsidRPr="00683F03">
        <w:rPr>
          <w:rFonts w:ascii="Cambria" w:hAnsi="Cambria" w:cstheme="minorHAnsi"/>
        </w:rPr>
        <w:t xml:space="preserve"> (variazione giornaliera: +8,8%), con 403.986 formalità contro le 408.415 di dicembre 2021, grazie all’incremento delle minivolture, che hanno riportato un aumento del 3,1% e 175.705 minipassaggi in confronto ai 170.353 di dicembre 2021 (variazione giornaliera: +13,5%). </w:t>
      </w:r>
    </w:p>
    <w:p w:rsidR="00D06A03" w:rsidRPr="00683F03" w:rsidRDefault="00D06A03" w:rsidP="001426B0">
      <w:pPr>
        <w:pStyle w:val="Corpodeltesto1"/>
        <w:spacing w:line="240" w:lineRule="auto"/>
        <w:contextualSpacing/>
        <w:rPr>
          <w:rFonts w:ascii="Cambria" w:hAnsi="Cambria" w:cstheme="minorHAnsi"/>
          <w:b/>
          <w:sz w:val="10"/>
          <w:szCs w:val="10"/>
        </w:rPr>
      </w:pPr>
      <w:r w:rsidRPr="00683F03">
        <w:rPr>
          <w:rFonts w:ascii="Cambria" w:hAnsi="Cambria" w:cstheme="minorHAnsi"/>
          <w:b/>
        </w:rPr>
        <w:t xml:space="preserve">Nel mese di dicembre, per ogni 100 autovetture nuove ne sono state vendute 198 usate; 204 nel totale annuo. </w:t>
      </w:r>
      <w:r w:rsidRPr="00683F03">
        <w:rPr>
          <w:rFonts w:ascii="Cambria" w:hAnsi="Cambria" w:cstheme="minorHAnsi"/>
          <w:bCs/>
        </w:rPr>
        <w:t>Nel 2022, le auto usate sono risultate più del doppio rispetto a quelle nuove.</w:t>
      </w:r>
    </w:p>
    <w:p w:rsidR="00D06A03" w:rsidRPr="00683F03" w:rsidRDefault="00D06A03" w:rsidP="001426B0">
      <w:pPr>
        <w:pStyle w:val="Corpodeltesto1"/>
        <w:spacing w:line="240" w:lineRule="auto"/>
        <w:contextualSpacing/>
        <w:rPr>
          <w:rFonts w:ascii="Cambria" w:hAnsi="Cambria" w:cstheme="minorHAnsi"/>
          <w:sz w:val="10"/>
          <w:szCs w:val="10"/>
        </w:rPr>
      </w:pPr>
      <w:r w:rsidRPr="00683F03">
        <w:rPr>
          <w:rFonts w:ascii="Cambria" w:hAnsi="Cambria" w:cstheme="minorHAnsi"/>
          <w:b/>
          <w:bCs/>
        </w:rPr>
        <w:t>Modesta la crescita mensile</w:t>
      </w:r>
      <w:r w:rsidRPr="00683F03">
        <w:rPr>
          <w:rFonts w:ascii="Cambria" w:hAnsi="Cambria" w:cstheme="minorHAnsi"/>
        </w:rPr>
        <w:t xml:space="preserve"> </w:t>
      </w:r>
      <w:r w:rsidRPr="00683F03">
        <w:rPr>
          <w:rFonts w:ascii="Cambria" w:hAnsi="Cambria" w:cstheme="minorHAnsi"/>
          <w:b/>
          <w:bCs/>
        </w:rPr>
        <w:t>de</w:t>
      </w:r>
      <w:r w:rsidRPr="00683F03">
        <w:rPr>
          <w:rFonts w:ascii="Cambria" w:hAnsi="Cambria" w:cstheme="minorHAnsi"/>
          <w:b/>
        </w:rPr>
        <w:t xml:space="preserve">i trasferimenti delle </w:t>
      </w:r>
      <w:r w:rsidRPr="00683F03">
        <w:rPr>
          <w:rFonts w:ascii="Cambria" w:hAnsi="Cambria" w:cstheme="minorHAnsi"/>
          <w:b/>
          <w:color w:val="FF0000"/>
        </w:rPr>
        <w:t xml:space="preserve">moto </w:t>
      </w:r>
      <w:r w:rsidRPr="00683F03">
        <w:rPr>
          <w:rFonts w:ascii="Cambria" w:hAnsi="Cambria" w:cstheme="minorHAnsi"/>
          <w:b/>
        </w:rPr>
        <w:t xml:space="preserve">al netto delle minivolture, </w:t>
      </w:r>
      <w:r w:rsidRPr="00683F03">
        <w:rPr>
          <w:rFonts w:ascii="Cambria" w:hAnsi="Cambria" w:cstheme="minorHAnsi"/>
        </w:rPr>
        <w:t xml:space="preserve">con </w:t>
      </w:r>
      <w:r w:rsidRPr="00683F03">
        <w:rPr>
          <w:rFonts w:ascii="Cambria" w:hAnsi="Cambria" w:cstheme="minorHAnsi"/>
          <w:b/>
        </w:rPr>
        <w:t xml:space="preserve">una variazione positiva dello 0,8% </w:t>
      </w:r>
      <w:r w:rsidRPr="00683F03">
        <w:rPr>
          <w:rFonts w:ascii="Cambria" w:hAnsi="Cambria" w:cstheme="minorHAnsi"/>
          <w:bCs/>
        </w:rPr>
        <w:t>(media giornaliera: +10,9%)</w:t>
      </w:r>
      <w:r w:rsidRPr="00683F03">
        <w:rPr>
          <w:rFonts w:ascii="Cambria" w:hAnsi="Cambria" w:cstheme="minorHAnsi"/>
        </w:rPr>
        <w:t xml:space="preserve">, essendo state presentate 31.089 pratiche contro le 30.834 di dicembre 2021. </w:t>
      </w:r>
    </w:p>
    <w:p w:rsidR="00D06A03" w:rsidRPr="00683F03" w:rsidRDefault="00D06A03" w:rsidP="001426B0">
      <w:pPr>
        <w:pStyle w:val="Corpodeltesto1"/>
        <w:spacing w:line="240" w:lineRule="auto"/>
        <w:contextualSpacing/>
        <w:rPr>
          <w:rFonts w:ascii="Cambria" w:hAnsi="Cambria" w:cstheme="minorHAnsi"/>
          <w:b/>
          <w:sz w:val="10"/>
          <w:szCs w:val="10"/>
        </w:rPr>
      </w:pPr>
      <w:r w:rsidRPr="00683F03">
        <w:rPr>
          <w:rFonts w:ascii="Cambria" w:hAnsi="Cambria" w:cstheme="minorHAnsi"/>
        </w:rPr>
        <w:t xml:space="preserve">Al netto delle minivolture, nel mese di dicembre 2022, </w:t>
      </w:r>
      <w:r w:rsidRPr="00683F03">
        <w:rPr>
          <w:rFonts w:ascii="Cambria" w:hAnsi="Cambria" w:cstheme="minorHAnsi"/>
          <w:b/>
          <w:bCs/>
        </w:rPr>
        <w:t xml:space="preserve">l’insieme dei </w:t>
      </w:r>
      <w:r w:rsidRPr="00683F03">
        <w:rPr>
          <w:rFonts w:ascii="Cambria" w:hAnsi="Cambria" w:cstheme="minorHAnsi"/>
          <w:b/>
          <w:bCs/>
          <w:color w:val="FF0000"/>
        </w:rPr>
        <w:t xml:space="preserve">veicoli </w:t>
      </w:r>
      <w:r w:rsidRPr="00683F03">
        <w:rPr>
          <w:rFonts w:ascii="Cambria" w:hAnsi="Cambria" w:cstheme="minorHAnsi"/>
          <w:b/>
          <w:bCs/>
        </w:rPr>
        <w:t>ha fatto registrare una flessione del 3,2%</w:t>
      </w:r>
      <w:r w:rsidRPr="00683F03">
        <w:rPr>
          <w:rFonts w:ascii="Cambria" w:hAnsi="Cambria" w:cstheme="minorHAnsi"/>
        </w:rPr>
        <w:t xml:space="preserve"> rispetto a dicembre 2021 (298.101 veicoli contro i 308.026 del 2021), </w:t>
      </w:r>
      <w:r w:rsidRPr="00683F03">
        <w:rPr>
          <w:rFonts w:ascii="Cambria" w:hAnsi="Cambria" w:cstheme="minorHAnsi"/>
          <w:b/>
          <w:bCs/>
        </w:rPr>
        <w:t>percentuale che diventa di segno positivo (+6,5%) a parità di giornate lavorative</w:t>
      </w:r>
      <w:r w:rsidRPr="00683F03">
        <w:rPr>
          <w:rFonts w:ascii="Cambria" w:hAnsi="Cambria" w:cstheme="minorHAnsi"/>
        </w:rPr>
        <w:t xml:space="preserve">.  </w:t>
      </w:r>
    </w:p>
    <w:p w:rsidR="00D06A03" w:rsidRPr="00683F03" w:rsidRDefault="00D06A03" w:rsidP="001426B0">
      <w:pPr>
        <w:pStyle w:val="Corpodeltesto1"/>
        <w:spacing w:line="240" w:lineRule="auto"/>
        <w:contextualSpacing/>
        <w:rPr>
          <w:rFonts w:ascii="Cambria" w:hAnsi="Cambria" w:cstheme="minorHAnsi"/>
        </w:rPr>
      </w:pPr>
      <w:r w:rsidRPr="002B4B68">
        <w:rPr>
          <w:rFonts w:ascii="Cambria" w:hAnsi="Cambria" w:cstheme="minorHAnsi"/>
          <w:b/>
          <w:bCs/>
        </w:rPr>
        <w:t>Nell’intero 2022, però, si sono registrati decrementi per tutti i tipi di veicoli: -10,2% per le autovetture</w:t>
      </w:r>
      <w:r w:rsidRPr="002B4B68">
        <w:rPr>
          <w:rFonts w:ascii="Cambria" w:hAnsi="Cambria" w:cstheme="minorHAnsi"/>
        </w:rPr>
        <w:t xml:space="preserve"> (con 2.725.019 passaggi netti rispetto ai 3.033.816 dell’anno precedente), </w:t>
      </w:r>
      <w:r w:rsidRPr="002B4B68">
        <w:rPr>
          <w:rFonts w:ascii="Cambria" w:hAnsi="Cambria" w:cstheme="minorHAnsi"/>
          <w:b/>
          <w:bCs/>
        </w:rPr>
        <w:t>-4,9% per i motocicli</w:t>
      </w:r>
      <w:r w:rsidRPr="002B4B68">
        <w:rPr>
          <w:rFonts w:ascii="Cambria" w:hAnsi="Cambria" w:cstheme="minorHAnsi"/>
        </w:rPr>
        <w:t xml:space="preserve"> (616.694 trasferimenti netti contro i 648.402 del 2021), </w:t>
      </w:r>
      <w:r w:rsidRPr="002B4B68">
        <w:rPr>
          <w:rFonts w:ascii="Cambria" w:hAnsi="Cambria" w:cstheme="minorHAnsi"/>
          <w:b/>
          <w:bCs/>
        </w:rPr>
        <w:t xml:space="preserve">-8,3% per tutti i veicoli </w:t>
      </w:r>
      <w:r w:rsidRPr="002B4B68">
        <w:rPr>
          <w:rFonts w:ascii="Cambria" w:hAnsi="Cambria" w:cstheme="minorHAnsi"/>
        </w:rPr>
        <w:t>(3.799.057 veicoli usati in confronto ai 4.141.454 dell’anno precedente).</w:t>
      </w:r>
      <w:r w:rsidRPr="00683F03">
        <w:rPr>
          <w:rFonts w:ascii="Cambria" w:hAnsi="Cambria" w:cstheme="minorHAnsi"/>
        </w:rPr>
        <w:t xml:space="preserve">  </w:t>
      </w:r>
    </w:p>
    <w:p w:rsidR="00D06A03" w:rsidRPr="00683F03" w:rsidRDefault="00D06A03" w:rsidP="001426B0">
      <w:pPr>
        <w:pStyle w:val="Corpodeltesto1"/>
        <w:spacing w:line="240" w:lineRule="auto"/>
        <w:contextualSpacing/>
        <w:rPr>
          <w:rFonts w:ascii="Cambria" w:hAnsi="Cambria" w:cstheme="minorHAnsi"/>
        </w:rPr>
      </w:pPr>
    </w:p>
    <w:p w:rsidR="00D06A03" w:rsidRPr="00683F03" w:rsidRDefault="00D06A03" w:rsidP="001426B0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contextualSpacing/>
        <w:jc w:val="both"/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</w:pPr>
      <w:r w:rsidRPr="00683F03"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  <w:t>PRIME ISCRIZIONI - ALIMENTAZIONI</w:t>
      </w:r>
    </w:p>
    <w:p w:rsidR="00D06A03" w:rsidRPr="00683F03" w:rsidRDefault="00D06A03" w:rsidP="001426B0">
      <w:pPr>
        <w:pStyle w:val="Titolo"/>
        <w:contextualSpacing/>
        <w:jc w:val="both"/>
        <w:rPr>
          <w:rFonts w:ascii="Cambria" w:hAnsi="Cambria" w:cstheme="minorHAnsi"/>
          <w:b w:val="0"/>
          <w:sz w:val="24"/>
        </w:rPr>
      </w:pPr>
      <w:r w:rsidRPr="00683F03">
        <w:rPr>
          <w:rFonts w:ascii="Cambria" w:hAnsi="Cambria" w:cstheme="minorHAnsi"/>
          <w:b w:val="0"/>
          <w:sz w:val="24"/>
        </w:rPr>
        <w:t xml:space="preserve">Riguardo alle alimentazioni, le autovetture nuove </w:t>
      </w:r>
      <w:r w:rsidRPr="00683F03">
        <w:rPr>
          <w:rFonts w:ascii="Cambria" w:hAnsi="Cambria" w:cstheme="minorHAnsi"/>
          <w:bCs/>
          <w:color w:val="FF0000"/>
          <w:sz w:val="24"/>
        </w:rPr>
        <w:t>ibride a benzina</w:t>
      </w:r>
      <w:r w:rsidRPr="00683F03">
        <w:rPr>
          <w:rFonts w:ascii="Cambria" w:hAnsi="Cambria" w:cstheme="minorHAnsi"/>
          <w:b w:val="0"/>
          <w:sz w:val="24"/>
        </w:rPr>
        <w:t xml:space="preserve">, con una </w:t>
      </w:r>
      <w:r w:rsidRPr="00683F03">
        <w:rPr>
          <w:rFonts w:ascii="Cambria" w:hAnsi="Cambria" w:cstheme="minorHAnsi"/>
          <w:bCs/>
          <w:sz w:val="24"/>
        </w:rPr>
        <w:t>quota pari al 35,2%</w:t>
      </w:r>
      <w:r w:rsidRPr="00683F03">
        <w:rPr>
          <w:rFonts w:ascii="Cambria" w:hAnsi="Cambria" w:cstheme="minorHAnsi"/>
          <w:b w:val="0"/>
          <w:sz w:val="24"/>
        </w:rPr>
        <w:t xml:space="preserve"> del </w:t>
      </w:r>
      <w:r w:rsidRPr="00683F03">
        <w:rPr>
          <w:rFonts w:ascii="Cambria" w:hAnsi="Cambria" w:cstheme="minorHAnsi"/>
          <w:sz w:val="24"/>
        </w:rPr>
        <w:t xml:space="preserve">mercato delle prime iscrizioni </w:t>
      </w:r>
      <w:r w:rsidRPr="00683F03">
        <w:rPr>
          <w:rFonts w:ascii="Cambria" w:hAnsi="Cambria" w:cstheme="minorHAnsi"/>
          <w:b w:val="0"/>
          <w:sz w:val="24"/>
        </w:rPr>
        <w:t xml:space="preserve">nel mese di dicembre, si posizionano ancora al </w:t>
      </w:r>
      <w:r w:rsidRPr="00683F03">
        <w:rPr>
          <w:rFonts w:ascii="Cambria" w:hAnsi="Cambria" w:cstheme="minorHAnsi"/>
          <w:bCs/>
          <w:sz w:val="24"/>
        </w:rPr>
        <w:t>primo posto</w:t>
      </w:r>
      <w:r w:rsidRPr="00683F03">
        <w:rPr>
          <w:rFonts w:ascii="Cambria" w:hAnsi="Cambria" w:cstheme="minorHAnsi"/>
          <w:b w:val="0"/>
          <w:sz w:val="24"/>
        </w:rPr>
        <w:t xml:space="preserve">, riportando altresì </w:t>
      </w:r>
      <w:r w:rsidRPr="00AC23B2">
        <w:rPr>
          <w:rFonts w:ascii="Cambria" w:hAnsi="Cambria" w:cstheme="minorHAnsi"/>
          <w:b w:val="0"/>
          <w:sz w:val="24"/>
        </w:rPr>
        <w:t xml:space="preserve">una </w:t>
      </w:r>
      <w:r w:rsidRPr="00AC23B2">
        <w:rPr>
          <w:rFonts w:ascii="Cambria" w:hAnsi="Cambria" w:cstheme="minorHAnsi"/>
          <w:bCs/>
          <w:sz w:val="24"/>
        </w:rPr>
        <w:t>crescita del 38,9%</w:t>
      </w:r>
      <w:r w:rsidRPr="00AC23B2">
        <w:rPr>
          <w:rFonts w:ascii="Cambria" w:hAnsi="Cambria" w:cstheme="minorHAnsi"/>
          <w:b w:val="0"/>
          <w:sz w:val="24"/>
        </w:rPr>
        <w:t xml:space="preserve"> (+7,6% nel totale annuo con una quota </w:t>
      </w:r>
      <w:r w:rsidRPr="00DE1991">
        <w:rPr>
          <w:rFonts w:ascii="Cambria" w:hAnsi="Cambria" w:cstheme="minorHAnsi"/>
          <w:b w:val="0"/>
          <w:sz w:val="24"/>
        </w:rPr>
        <w:t>2022</w:t>
      </w:r>
      <w:r w:rsidRPr="00AC23B2">
        <w:rPr>
          <w:rFonts w:ascii="Cambria" w:hAnsi="Cambria" w:cstheme="minorHAnsi"/>
          <w:b w:val="0"/>
          <w:sz w:val="24"/>
        </w:rPr>
        <w:t xml:space="preserve"> pari al 34,2%), e superando, come ormai accade da mesi, le vendite di auto a </w:t>
      </w:r>
      <w:r w:rsidRPr="00AC23B2">
        <w:rPr>
          <w:rFonts w:ascii="Cambria" w:hAnsi="Cambria" w:cstheme="minorHAnsi"/>
          <w:bCs/>
          <w:color w:val="FF0000"/>
          <w:sz w:val="24"/>
        </w:rPr>
        <w:t>benzina</w:t>
      </w:r>
      <w:r w:rsidRPr="00AC23B2">
        <w:rPr>
          <w:rFonts w:ascii="Cambria" w:hAnsi="Cambria" w:cstheme="minorHAnsi"/>
          <w:b w:val="0"/>
          <w:color w:val="FF0000"/>
          <w:sz w:val="24"/>
        </w:rPr>
        <w:t xml:space="preserve"> </w:t>
      </w:r>
      <w:r w:rsidRPr="00AC23B2">
        <w:rPr>
          <w:rFonts w:ascii="Cambria" w:hAnsi="Cambria" w:cstheme="minorHAnsi"/>
          <w:b w:val="0"/>
          <w:sz w:val="24"/>
        </w:rPr>
        <w:t xml:space="preserve">oltre che </w:t>
      </w:r>
      <w:r w:rsidRPr="00AC23B2">
        <w:rPr>
          <w:rFonts w:ascii="Cambria" w:hAnsi="Cambria" w:cstheme="minorHAnsi"/>
          <w:bCs/>
          <w:color w:val="FF0000"/>
          <w:sz w:val="24"/>
        </w:rPr>
        <w:t>diesel</w:t>
      </w:r>
      <w:r w:rsidRPr="00AC23B2">
        <w:rPr>
          <w:rFonts w:ascii="Cambria" w:hAnsi="Cambria" w:cstheme="minorHAnsi"/>
          <w:b w:val="0"/>
          <w:sz w:val="24"/>
        </w:rPr>
        <w:t xml:space="preserve">, </w:t>
      </w:r>
      <w:r w:rsidRPr="00DE1991">
        <w:rPr>
          <w:rFonts w:ascii="Cambria" w:hAnsi="Cambria" w:cstheme="minorHAnsi"/>
          <w:b w:val="0"/>
          <w:sz w:val="24"/>
        </w:rPr>
        <w:t>la cui quota-mercato nel 2022 si è fissata, rispettivamente, al 28,2% e 19,6%</w:t>
      </w:r>
      <w:r w:rsidRPr="00AC23B2">
        <w:rPr>
          <w:rFonts w:ascii="Cambria" w:hAnsi="Cambria" w:cstheme="minorHAnsi"/>
          <w:b w:val="0"/>
          <w:sz w:val="24"/>
        </w:rPr>
        <w:t>.</w:t>
      </w:r>
      <w:r w:rsidRPr="00683F03">
        <w:rPr>
          <w:rFonts w:ascii="Cambria" w:hAnsi="Cambria" w:cstheme="minorHAnsi"/>
          <w:b w:val="0"/>
          <w:sz w:val="24"/>
        </w:rPr>
        <w:t xml:space="preserve"> </w:t>
      </w:r>
    </w:p>
    <w:p w:rsidR="00D06A03" w:rsidRPr="001426B0" w:rsidRDefault="00D06A03" w:rsidP="001426B0">
      <w:pPr>
        <w:pStyle w:val="Titolo"/>
        <w:contextualSpacing/>
        <w:jc w:val="both"/>
        <w:rPr>
          <w:rFonts w:ascii="Cambria" w:hAnsi="Cambria" w:cstheme="minorHAnsi"/>
          <w:b w:val="0"/>
          <w:sz w:val="24"/>
        </w:rPr>
      </w:pPr>
      <w:r w:rsidRPr="00683F03">
        <w:rPr>
          <w:rFonts w:ascii="Cambria" w:hAnsi="Cambria" w:cstheme="minorHAnsi"/>
          <w:b w:val="0"/>
          <w:sz w:val="24"/>
        </w:rPr>
        <w:t xml:space="preserve">Sebbene </w:t>
      </w:r>
      <w:r w:rsidRPr="00683F03">
        <w:rPr>
          <w:rFonts w:ascii="Cambria" w:hAnsi="Cambria" w:cstheme="minorHAnsi"/>
          <w:bCs/>
          <w:sz w:val="24"/>
        </w:rPr>
        <w:t>a dicembre 2022</w:t>
      </w:r>
      <w:r w:rsidRPr="00683F03">
        <w:rPr>
          <w:rFonts w:ascii="Cambria" w:hAnsi="Cambria" w:cstheme="minorHAnsi"/>
          <w:b w:val="0"/>
          <w:sz w:val="24"/>
        </w:rPr>
        <w:t xml:space="preserve">, rispetto allo stesso mese dell’anno precedente, le </w:t>
      </w:r>
      <w:r w:rsidRPr="00683F03">
        <w:rPr>
          <w:rFonts w:ascii="Cambria" w:hAnsi="Cambria" w:cstheme="minorHAnsi"/>
          <w:bCs/>
          <w:sz w:val="24"/>
        </w:rPr>
        <w:t>prime iscrizioni</w:t>
      </w:r>
      <w:r w:rsidRPr="00683F03">
        <w:rPr>
          <w:rFonts w:ascii="Cambria" w:hAnsi="Cambria" w:cstheme="minorHAnsi"/>
          <w:b w:val="0"/>
          <w:sz w:val="24"/>
        </w:rPr>
        <w:t xml:space="preserve"> sia di auto </w:t>
      </w:r>
      <w:r w:rsidRPr="00683F03">
        <w:rPr>
          <w:rFonts w:ascii="Cambria" w:hAnsi="Cambria" w:cstheme="minorHAnsi"/>
          <w:bCs/>
          <w:color w:val="FF0000"/>
          <w:sz w:val="24"/>
        </w:rPr>
        <w:t>diesel</w:t>
      </w:r>
      <w:r w:rsidRPr="00683F03">
        <w:rPr>
          <w:rFonts w:ascii="Cambria" w:hAnsi="Cambria" w:cstheme="minorHAnsi"/>
          <w:b w:val="0"/>
          <w:color w:val="FF0000"/>
          <w:sz w:val="24"/>
        </w:rPr>
        <w:t xml:space="preserve"> </w:t>
      </w:r>
      <w:r w:rsidRPr="00683F03">
        <w:rPr>
          <w:rFonts w:ascii="Cambria" w:hAnsi="Cambria" w:cstheme="minorHAnsi"/>
          <w:b w:val="0"/>
          <w:sz w:val="24"/>
        </w:rPr>
        <w:t xml:space="preserve">che </w:t>
      </w:r>
      <w:r w:rsidRPr="00683F03">
        <w:rPr>
          <w:rFonts w:ascii="Cambria" w:hAnsi="Cambria" w:cstheme="minorHAnsi"/>
          <w:bCs/>
          <w:color w:val="FF0000"/>
          <w:sz w:val="24"/>
        </w:rPr>
        <w:t>benzina</w:t>
      </w:r>
      <w:r w:rsidRPr="00683F03">
        <w:rPr>
          <w:rFonts w:ascii="Cambria" w:hAnsi="Cambria" w:cstheme="minorHAnsi"/>
          <w:b w:val="0"/>
          <w:color w:val="FF0000"/>
          <w:sz w:val="24"/>
        </w:rPr>
        <w:t xml:space="preserve"> </w:t>
      </w:r>
      <w:r w:rsidRPr="00683F03">
        <w:rPr>
          <w:rFonts w:ascii="Cambria" w:hAnsi="Cambria" w:cstheme="minorHAnsi"/>
          <w:b w:val="0"/>
          <w:sz w:val="24"/>
        </w:rPr>
        <w:t xml:space="preserve">abbiano fatto registrare una </w:t>
      </w:r>
      <w:r w:rsidRPr="00683F03">
        <w:rPr>
          <w:rFonts w:ascii="Cambria" w:hAnsi="Cambria" w:cstheme="minorHAnsi"/>
          <w:bCs/>
          <w:sz w:val="24"/>
        </w:rPr>
        <w:t>crescita significativa</w:t>
      </w:r>
      <w:r w:rsidRPr="00683F03">
        <w:rPr>
          <w:rFonts w:ascii="Cambria" w:hAnsi="Cambria" w:cstheme="minorHAnsi"/>
          <w:b w:val="0"/>
          <w:sz w:val="24"/>
        </w:rPr>
        <w:t xml:space="preserve"> (rispettivamente </w:t>
      </w:r>
      <w:r w:rsidRPr="00683F03">
        <w:rPr>
          <w:rFonts w:ascii="Cambria" w:hAnsi="Cambria" w:cstheme="minorHAnsi"/>
          <w:bCs/>
          <w:sz w:val="24"/>
        </w:rPr>
        <w:t>+32,2%</w:t>
      </w:r>
      <w:r w:rsidRPr="00683F03">
        <w:rPr>
          <w:rFonts w:ascii="Cambria" w:hAnsi="Cambria" w:cstheme="minorHAnsi"/>
          <w:b w:val="0"/>
          <w:sz w:val="24"/>
        </w:rPr>
        <w:t xml:space="preserve"> e </w:t>
      </w:r>
      <w:r w:rsidRPr="00683F03">
        <w:rPr>
          <w:rFonts w:ascii="Cambria" w:hAnsi="Cambria" w:cstheme="minorHAnsi"/>
          <w:bCs/>
          <w:sz w:val="24"/>
        </w:rPr>
        <w:t>+18,7%</w:t>
      </w:r>
      <w:r w:rsidRPr="00683F03">
        <w:rPr>
          <w:rFonts w:ascii="Cambria" w:hAnsi="Cambria" w:cstheme="minorHAnsi"/>
          <w:b w:val="0"/>
          <w:sz w:val="24"/>
        </w:rPr>
        <w:t xml:space="preserve">), </w:t>
      </w:r>
      <w:r w:rsidRPr="00683F03">
        <w:rPr>
          <w:rFonts w:ascii="Cambria" w:hAnsi="Cambria" w:cstheme="minorHAnsi"/>
          <w:bCs/>
          <w:sz w:val="24"/>
        </w:rPr>
        <w:t xml:space="preserve">su base annua entrambi i mercati presentano un preoccupante segno meno: - 24% per le auto </w:t>
      </w:r>
      <w:r w:rsidRPr="00683F03">
        <w:rPr>
          <w:rFonts w:ascii="Cambria" w:hAnsi="Cambria" w:cstheme="minorHAnsi"/>
          <w:bCs/>
          <w:color w:val="FF0000"/>
          <w:sz w:val="24"/>
        </w:rPr>
        <w:t>diesel,</w:t>
      </w:r>
      <w:r w:rsidRPr="00683F03">
        <w:rPr>
          <w:rFonts w:ascii="Cambria" w:hAnsi="Cambria" w:cstheme="minorHAnsi"/>
          <w:bCs/>
          <w:sz w:val="24"/>
        </w:rPr>
        <w:t xml:space="preserve"> - 21,8% per quelle a </w:t>
      </w:r>
      <w:r w:rsidRPr="00683F03">
        <w:rPr>
          <w:rFonts w:ascii="Cambria" w:hAnsi="Cambria" w:cstheme="minorHAnsi"/>
          <w:bCs/>
          <w:color w:val="FF0000"/>
          <w:sz w:val="24"/>
        </w:rPr>
        <w:t>benzina</w:t>
      </w:r>
      <w:r w:rsidRPr="00683F03">
        <w:rPr>
          <w:rFonts w:ascii="Cambria" w:hAnsi="Cambria" w:cstheme="minorHAnsi"/>
          <w:b w:val="0"/>
          <w:sz w:val="24"/>
        </w:rPr>
        <w:t xml:space="preserve">. </w:t>
      </w:r>
    </w:p>
    <w:p w:rsidR="00D06A03" w:rsidRPr="001426B0" w:rsidRDefault="00D06A03" w:rsidP="001426B0">
      <w:pPr>
        <w:pStyle w:val="Titolo"/>
        <w:contextualSpacing/>
        <w:jc w:val="both"/>
        <w:rPr>
          <w:rFonts w:ascii="Cambria" w:hAnsi="Cambria" w:cstheme="minorHAnsi"/>
          <w:b w:val="0"/>
          <w:sz w:val="24"/>
        </w:rPr>
      </w:pPr>
      <w:r w:rsidRPr="00683F03">
        <w:rPr>
          <w:rFonts w:ascii="Cambria" w:hAnsi="Cambria" w:cstheme="minorHAnsi"/>
          <w:b w:val="0"/>
          <w:sz w:val="24"/>
        </w:rPr>
        <w:t xml:space="preserve">Le prime iscrizioni di </w:t>
      </w:r>
      <w:r w:rsidRPr="00683F03">
        <w:rPr>
          <w:rFonts w:ascii="Cambria" w:hAnsi="Cambria" w:cstheme="minorHAnsi"/>
          <w:bCs/>
          <w:color w:val="FF0000"/>
          <w:sz w:val="24"/>
        </w:rPr>
        <w:t>vetture elettriche</w:t>
      </w:r>
      <w:r w:rsidRPr="00683F03">
        <w:rPr>
          <w:rFonts w:ascii="Cambria" w:hAnsi="Cambria" w:cstheme="minorHAnsi"/>
          <w:b w:val="0"/>
          <w:color w:val="FF0000"/>
          <w:sz w:val="24"/>
        </w:rPr>
        <w:t xml:space="preserve"> </w:t>
      </w:r>
      <w:r w:rsidRPr="00683F03">
        <w:rPr>
          <w:rFonts w:ascii="Cambria" w:hAnsi="Cambria" w:cstheme="minorHAnsi"/>
          <w:b w:val="0"/>
          <w:sz w:val="24"/>
        </w:rPr>
        <w:t xml:space="preserve">hanno perso sia in quota, 4% a dicembre 2022 contro il 6,8% a dicembre 2021, sia nel raffronto, -24,3% la variazione tra i due mesi corrispondenti; nel complesso del 2022 l’incidenza è stata pari al 3,7% con una contrazione del 29,2%. </w:t>
      </w:r>
    </w:p>
    <w:p w:rsidR="00D06A03" w:rsidRPr="001426B0" w:rsidRDefault="00D06A03" w:rsidP="001426B0">
      <w:pPr>
        <w:pStyle w:val="Titolo"/>
        <w:contextualSpacing/>
        <w:jc w:val="both"/>
        <w:rPr>
          <w:rFonts w:ascii="Cambria" w:hAnsi="Cambria" w:cstheme="minorHAnsi"/>
          <w:b w:val="0"/>
          <w:sz w:val="24"/>
        </w:rPr>
      </w:pPr>
      <w:r w:rsidRPr="00683F03">
        <w:rPr>
          <w:rFonts w:ascii="Cambria" w:hAnsi="Cambria" w:cstheme="minorHAnsi"/>
          <w:b w:val="0"/>
          <w:sz w:val="24"/>
        </w:rPr>
        <w:t>Forte aumento a dicembre per le iscrizioni di auto ibride elettriche a gasolio, +56,3%, ancora al 4,6% di incidenza sul totale (4,7% la quota nell’anno con una variazione positiva del 5,1%).</w:t>
      </w:r>
    </w:p>
    <w:p w:rsidR="00D06A03" w:rsidRPr="001426B0" w:rsidRDefault="00D06A03" w:rsidP="001426B0">
      <w:pPr>
        <w:pStyle w:val="Titolo"/>
        <w:contextualSpacing/>
        <w:jc w:val="both"/>
        <w:rPr>
          <w:rFonts w:ascii="Cambria" w:hAnsi="Cambria" w:cstheme="minorHAnsi"/>
          <w:b w:val="0"/>
          <w:sz w:val="24"/>
        </w:rPr>
      </w:pPr>
      <w:r w:rsidRPr="00683F03">
        <w:rPr>
          <w:rFonts w:ascii="Cambria" w:hAnsi="Cambria" w:cstheme="minorHAnsi"/>
          <w:b w:val="0"/>
          <w:sz w:val="24"/>
        </w:rPr>
        <w:t xml:space="preserve">Nel </w:t>
      </w:r>
      <w:r w:rsidRPr="00683F03">
        <w:rPr>
          <w:rFonts w:ascii="Cambria" w:hAnsi="Cambria" w:cstheme="minorHAnsi"/>
          <w:sz w:val="24"/>
        </w:rPr>
        <w:t>mercato dell’usato</w:t>
      </w:r>
      <w:r w:rsidRPr="00683F03">
        <w:rPr>
          <w:rFonts w:ascii="Cambria" w:hAnsi="Cambria" w:cstheme="minorHAnsi"/>
          <w:b w:val="0"/>
          <w:sz w:val="24"/>
        </w:rPr>
        <w:t xml:space="preserve"> prevalgono ancora le alimentazioni tradizionali (diesel e benzina); la quota dell’ibrido a benzina si pone al 5% a dicembre ed al 3,5% nel totale annuo. </w:t>
      </w:r>
    </w:p>
    <w:p w:rsidR="00D06A03" w:rsidRPr="00683F03" w:rsidRDefault="00D06A03" w:rsidP="001426B0">
      <w:pPr>
        <w:pStyle w:val="Titolo"/>
        <w:contextualSpacing/>
        <w:jc w:val="both"/>
        <w:rPr>
          <w:rFonts w:ascii="Cambria" w:hAnsi="Cambria" w:cstheme="minorHAnsi"/>
          <w:b w:val="0"/>
          <w:sz w:val="24"/>
        </w:rPr>
      </w:pPr>
      <w:r w:rsidRPr="00683F03">
        <w:rPr>
          <w:rFonts w:ascii="Cambria" w:hAnsi="Cambria" w:cstheme="minorHAnsi"/>
          <w:b w:val="0"/>
          <w:sz w:val="24"/>
        </w:rPr>
        <w:t>Nei minipassaggi primeggiano tuttora le auto diesel (52% di quota a dicembre 2022 e 52,8% nel 2022, comunque in calo in confronto a dicembre 2021, quando era il 54,5% ed al 2021, 56,3%). L’incidenza delle auto ibride a benzina per le minivolture si colloca al 5,5% a dicembre ed al 4,4% nell’anno, con un incremento complessivo del 68%.</w:t>
      </w:r>
    </w:p>
    <w:p w:rsidR="00A868B8" w:rsidRDefault="00A868B8" w:rsidP="001426B0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contextualSpacing/>
        <w:jc w:val="both"/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</w:pPr>
    </w:p>
    <w:p w:rsidR="00D06A03" w:rsidRPr="00683F03" w:rsidRDefault="00D06A03" w:rsidP="001426B0">
      <w:pPr>
        <w:pBdr>
          <w:top w:val="nil"/>
          <w:left w:val="nil"/>
          <w:bottom w:val="single" w:sz="4" w:space="1" w:color="auto"/>
          <w:right w:val="nil"/>
          <w:between w:val="nil"/>
          <w:bar w:val="nil"/>
        </w:pBdr>
        <w:contextualSpacing/>
        <w:jc w:val="both"/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</w:pPr>
      <w:r w:rsidRPr="00683F03">
        <w:rPr>
          <w:rFonts w:ascii="Cambria" w:eastAsia="Arial Unicode MS" w:hAnsi="Cambria" w:cstheme="minorHAnsi"/>
          <w:b/>
          <w:bCs/>
          <w:color w:val="800000"/>
          <w:u w:color="800000"/>
          <w:bdr w:val="nil"/>
        </w:rPr>
        <w:t>RADIAZIONI</w:t>
      </w:r>
    </w:p>
    <w:p w:rsidR="00D06A03" w:rsidRPr="001426B0" w:rsidRDefault="00D06A03" w:rsidP="001426B0">
      <w:pPr>
        <w:pStyle w:val="Corpodeltesto1"/>
        <w:tabs>
          <w:tab w:val="left" w:pos="8805"/>
        </w:tabs>
        <w:spacing w:line="240" w:lineRule="auto"/>
        <w:contextualSpacing/>
        <w:rPr>
          <w:rFonts w:ascii="Cambria" w:hAnsi="Cambria" w:cstheme="minorHAnsi"/>
          <w:b/>
        </w:rPr>
      </w:pPr>
      <w:r w:rsidRPr="00683F03">
        <w:rPr>
          <w:rFonts w:ascii="Cambria" w:hAnsi="Cambria" w:cstheme="minorHAnsi"/>
          <w:b/>
        </w:rPr>
        <w:t xml:space="preserve">Fortemente negativo, anche a dicembre, il dato relativo alle radiazioni di </w:t>
      </w:r>
      <w:r w:rsidRPr="00683F03">
        <w:rPr>
          <w:rFonts w:ascii="Cambria" w:hAnsi="Cambria" w:cstheme="minorHAnsi"/>
          <w:b/>
          <w:color w:val="FF0000"/>
        </w:rPr>
        <w:t>autovetture</w:t>
      </w:r>
      <w:r w:rsidRPr="00683F03">
        <w:rPr>
          <w:rFonts w:ascii="Cambria" w:hAnsi="Cambria" w:cstheme="minorHAnsi"/>
        </w:rPr>
        <w:t>: si è registrato un decremento</w:t>
      </w:r>
      <w:r w:rsidRPr="00683F03">
        <w:rPr>
          <w:rFonts w:ascii="Cambria" w:hAnsi="Cambria" w:cstheme="minorHAnsi"/>
          <w:b/>
        </w:rPr>
        <w:t xml:space="preserve"> del 27,5% </w:t>
      </w:r>
      <w:r w:rsidRPr="00683F03">
        <w:rPr>
          <w:rFonts w:ascii="Cambria" w:hAnsi="Cambria" w:cstheme="minorHAnsi"/>
        </w:rPr>
        <w:t>rispetto a dicembre dell’anno precedente, che si riduce a -20,3% a livello di variazione giornaliera, con 83.354 pratiche (numero più basso in assoluto per dicembre) contro le 115.003 di dicembre 2021.</w:t>
      </w:r>
      <w:r w:rsidRPr="00683F03">
        <w:rPr>
          <w:rFonts w:ascii="Cambria" w:hAnsi="Cambria" w:cstheme="minorHAnsi"/>
          <w:b/>
        </w:rPr>
        <w:t xml:space="preserve"> </w:t>
      </w:r>
    </w:p>
    <w:p w:rsidR="00D06A03" w:rsidRPr="00683F03" w:rsidRDefault="00D06A03" w:rsidP="001426B0">
      <w:pPr>
        <w:pStyle w:val="Corpodeltesto1"/>
        <w:tabs>
          <w:tab w:val="left" w:pos="8805"/>
        </w:tabs>
        <w:spacing w:line="240" w:lineRule="auto"/>
        <w:contextualSpacing/>
        <w:rPr>
          <w:rFonts w:ascii="Cambria" w:hAnsi="Cambria" w:cstheme="minorHAnsi"/>
        </w:rPr>
      </w:pPr>
      <w:r w:rsidRPr="00683F03">
        <w:rPr>
          <w:rFonts w:ascii="Cambria" w:hAnsi="Cambria" w:cstheme="minorHAnsi"/>
          <w:b/>
        </w:rPr>
        <w:t xml:space="preserve">Il tasso unitario di sostituzione è stato pari a 0,72 nel mese di dicembre </w:t>
      </w:r>
      <w:r w:rsidRPr="00683F03">
        <w:rPr>
          <w:rFonts w:ascii="Cambria" w:hAnsi="Cambria" w:cstheme="minorHAnsi"/>
          <w:bCs/>
        </w:rPr>
        <w:t>(ogni 100 auto nuove ne sono state radiate 72)</w:t>
      </w:r>
      <w:r w:rsidRPr="00683F03">
        <w:rPr>
          <w:rFonts w:ascii="Cambria" w:hAnsi="Cambria" w:cstheme="minorHAnsi"/>
          <w:b/>
        </w:rPr>
        <w:t xml:space="preserve"> ed a 0,79 nell’intero 2022</w:t>
      </w:r>
      <w:r w:rsidRPr="00683F03">
        <w:rPr>
          <w:rFonts w:ascii="Cambria" w:hAnsi="Cambria" w:cstheme="minorHAnsi"/>
        </w:rPr>
        <w:t xml:space="preserve">. </w:t>
      </w:r>
    </w:p>
    <w:p w:rsidR="00D06A03" w:rsidRPr="00683F03" w:rsidRDefault="00D06A03" w:rsidP="001426B0">
      <w:pPr>
        <w:pStyle w:val="Corpodeltesto1"/>
        <w:tabs>
          <w:tab w:val="left" w:pos="8805"/>
        </w:tabs>
        <w:spacing w:line="240" w:lineRule="auto"/>
        <w:contextualSpacing/>
        <w:rPr>
          <w:rFonts w:ascii="Cambria" w:hAnsi="Cambria" w:cstheme="minorHAnsi"/>
        </w:rPr>
      </w:pPr>
      <w:r w:rsidRPr="00683F03">
        <w:rPr>
          <w:rFonts w:ascii="Cambria" w:hAnsi="Cambria" w:cstheme="minorHAnsi"/>
          <w:b/>
        </w:rPr>
        <w:t xml:space="preserve">Contrazione mensile anche per le radiazioni dei </w:t>
      </w:r>
      <w:r w:rsidRPr="00683F03">
        <w:rPr>
          <w:rFonts w:ascii="Cambria" w:hAnsi="Cambria" w:cstheme="minorHAnsi"/>
          <w:b/>
          <w:color w:val="FF0000"/>
        </w:rPr>
        <w:t>motocicli</w:t>
      </w:r>
      <w:r w:rsidRPr="00683F03">
        <w:rPr>
          <w:rFonts w:ascii="Cambria" w:hAnsi="Cambria" w:cstheme="minorHAnsi"/>
          <w:b/>
        </w:rPr>
        <w:t xml:space="preserve">, </w:t>
      </w:r>
      <w:r w:rsidRPr="00683F03">
        <w:rPr>
          <w:rFonts w:ascii="Cambria" w:hAnsi="Cambria" w:cstheme="minorHAnsi"/>
        </w:rPr>
        <w:t xml:space="preserve">con una </w:t>
      </w:r>
      <w:r w:rsidRPr="00683F03">
        <w:rPr>
          <w:rFonts w:ascii="Cambria" w:hAnsi="Cambria" w:cstheme="minorHAnsi"/>
          <w:b/>
          <w:bCs/>
        </w:rPr>
        <w:t>variazione negativa</w:t>
      </w:r>
      <w:r w:rsidRPr="00683F03">
        <w:rPr>
          <w:rFonts w:ascii="Cambria" w:hAnsi="Cambria" w:cstheme="minorHAnsi"/>
        </w:rPr>
        <w:t xml:space="preserve"> </w:t>
      </w:r>
      <w:r w:rsidRPr="00683F03">
        <w:rPr>
          <w:rFonts w:ascii="Cambria" w:hAnsi="Cambria" w:cstheme="minorHAnsi"/>
          <w:b/>
        </w:rPr>
        <w:t xml:space="preserve">del 10,1% </w:t>
      </w:r>
      <w:r w:rsidRPr="00683F03">
        <w:rPr>
          <w:rFonts w:ascii="Cambria" w:hAnsi="Cambria" w:cstheme="minorHAnsi"/>
          <w:bCs/>
        </w:rPr>
        <w:t>(media giornaliera: -1,1%)</w:t>
      </w:r>
      <w:r w:rsidRPr="00683F03">
        <w:rPr>
          <w:rFonts w:ascii="Cambria" w:hAnsi="Cambria" w:cstheme="minorHAnsi"/>
        </w:rPr>
        <w:t xml:space="preserve"> e 8.507 motocicli radiati contro i 9.466 di dicembre 2021. </w:t>
      </w:r>
    </w:p>
    <w:p w:rsidR="00D06A03" w:rsidRPr="001426B0" w:rsidRDefault="00D06A03" w:rsidP="001426B0">
      <w:pPr>
        <w:pStyle w:val="Corpodeltesto1"/>
        <w:tabs>
          <w:tab w:val="left" w:pos="8805"/>
        </w:tabs>
        <w:spacing w:line="240" w:lineRule="auto"/>
        <w:contextualSpacing/>
        <w:rPr>
          <w:rFonts w:ascii="Cambria" w:hAnsi="Cambria" w:cstheme="minorHAnsi"/>
        </w:rPr>
      </w:pPr>
      <w:r w:rsidRPr="00683F03">
        <w:rPr>
          <w:rFonts w:ascii="Cambria" w:hAnsi="Cambria" w:cstheme="minorHAnsi"/>
          <w:b/>
          <w:bCs/>
        </w:rPr>
        <w:lastRenderedPageBreak/>
        <w:t xml:space="preserve">Per tutti i </w:t>
      </w:r>
      <w:r w:rsidRPr="00683F03">
        <w:rPr>
          <w:rFonts w:ascii="Cambria" w:hAnsi="Cambria" w:cstheme="minorHAnsi"/>
          <w:b/>
          <w:bCs/>
          <w:color w:val="FF0000"/>
        </w:rPr>
        <w:t>veicoli</w:t>
      </w:r>
      <w:r w:rsidRPr="00683F03">
        <w:rPr>
          <w:rFonts w:ascii="Cambria" w:hAnsi="Cambria" w:cstheme="minorHAnsi"/>
          <w:color w:val="FF0000"/>
        </w:rPr>
        <w:t xml:space="preserve"> </w:t>
      </w:r>
      <w:r w:rsidRPr="00683F03">
        <w:rPr>
          <w:rFonts w:ascii="Cambria" w:hAnsi="Cambria" w:cstheme="minorHAnsi"/>
        </w:rPr>
        <w:t xml:space="preserve">è stato, infine, rilevato un </w:t>
      </w:r>
      <w:r w:rsidRPr="00683F03">
        <w:rPr>
          <w:rFonts w:ascii="Cambria" w:hAnsi="Cambria" w:cstheme="minorHAnsi"/>
          <w:b/>
          <w:bCs/>
        </w:rPr>
        <w:t>calo del 25,5%</w:t>
      </w:r>
      <w:r w:rsidRPr="00683F03">
        <w:rPr>
          <w:rFonts w:ascii="Cambria" w:hAnsi="Cambria" w:cstheme="minorHAnsi"/>
        </w:rPr>
        <w:t>, con 101.646 radiazioni rispetto alle 136.386 di dicembre dello scorso anno, che scende a -18% a parità di giornate lavorative.</w:t>
      </w:r>
    </w:p>
    <w:p w:rsidR="00D06A03" w:rsidRDefault="00D06A03" w:rsidP="001426B0">
      <w:pPr>
        <w:pStyle w:val="Titolo"/>
        <w:contextualSpacing/>
        <w:jc w:val="both"/>
        <w:rPr>
          <w:rFonts w:ascii="Cambria" w:hAnsi="Cambria" w:cstheme="minorHAnsi"/>
          <w:b w:val="0"/>
          <w:sz w:val="24"/>
        </w:rPr>
      </w:pPr>
      <w:r w:rsidRPr="00683F03">
        <w:rPr>
          <w:rFonts w:ascii="Cambria" w:hAnsi="Cambria" w:cstheme="minorHAnsi"/>
          <w:b w:val="0"/>
          <w:sz w:val="24"/>
        </w:rPr>
        <w:t xml:space="preserve">Il 2022 ha così archiviato </w:t>
      </w:r>
      <w:r w:rsidRPr="00683F03">
        <w:rPr>
          <w:rFonts w:ascii="Cambria" w:hAnsi="Cambria" w:cstheme="minorHAnsi"/>
          <w:bCs/>
          <w:sz w:val="24"/>
        </w:rPr>
        <w:t xml:space="preserve">flessioni del 29,5% per le </w:t>
      </w:r>
      <w:r w:rsidRPr="00683F03">
        <w:rPr>
          <w:rFonts w:ascii="Cambria" w:hAnsi="Cambria" w:cstheme="minorHAnsi"/>
          <w:bCs/>
          <w:color w:val="FF0000"/>
          <w:sz w:val="24"/>
        </w:rPr>
        <w:t>autovetture</w:t>
      </w:r>
      <w:r w:rsidRPr="00683F03">
        <w:rPr>
          <w:rFonts w:ascii="Cambria" w:hAnsi="Cambria" w:cstheme="minorHAnsi"/>
          <w:b w:val="0"/>
          <w:color w:val="FF0000"/>
          <w:sz w:val="24"/>
        </w:rPr>
        <w:t xml:space="preserve"> </w:t>
      </w:r>
      <w:r w:rsidRPr="00683F03">
        <w:rPr>
          <w:rFonts w:ascii="Cambria" w:hAnsi="Cambria" w:cstheme="minorHAnsi"/>
          <w:b w:val="0"/>
          <w:sz w:val="24"/>
        </w:rPr>
        <w:t xml:space="preserve">(1.051.994 radiazioni rispetto alle 1.491.281 del 2021), </w:t>
      </w:r>
      <w:r w:rsidRPr="00683F03">
        <w:rPr>
          <w:rFonts w:ascii="Cambria" w:hAnsi="Cambria" w:cstheme="minorHAnsi"/>
          <w:bCs/>
          <w:sz w:val="24"/>
        </w:rPr>
        <w:t xml:space="preserve">del 3,8% per i </w:t>
      </w:r>
      <w:r w:rsidRPr="00683F03">
        <w:rPr>
          <w:rFonts w:ascii="Cambria" w:hAnsi="Cambria" w:cstheme="minorHAnsi"/>
          <w:bCs/>
          <w:color w:val="FF0000"/>
          <w:sz w:val="24"/>
        </w:rPr>
        <w:t>motocicli</w:t>
      </w:r>
      <w:r w:rsidRPr="00683F03">
        <w:rPr>
          <w:rFonts w:ascii="Cambria" w:hAnsi="Cambria" w:cstheme="minorHAnsi"/>
          <w:b w:val="0"/>
          <w:color w:val="FF0000"/>
          <w:sz w:val="24"/>
        </w:rPr>
        <w:t xml:space="preserve"> </w:t>
      </w:r>
      <w:r w:rsidRPr="00683F03">
        <w:rPr>
          <w:rFonts w:ascii="Cambria" w:hAnsi="Cambria" w:cstheme="minorHAnsi"/>
          <w:b w:val="0"/>
          <w:sz w:val="24"/>
        </w:rPr>
        <w:t xml:space="preserve">con (114.538 moto radiate contro le 119.040 dell’anno precedente) </w:t>
      </w:r>
      <w:r w:rsidRPr="00683F03">
        <w:rPr>
          <w:rFonts w:ascii="Cambria" w:hAnsi="Cambria" w:cstheme="minorHAnsi"/>
          <w:bCs/>
          <w:sz w:val="24"/>
        </w:rPr>
        <w:t xml:space="preserve">e -27% per tutti i </w:t>
      </w:r>
      <w:r w:rsidRPr="00683F03">
        <w:rPr>
          <w:rFonts w:ascii="Cambria" w:hAnsi="Cambria" w:cstheme="minorHAnsi"/>
          <w:bCs/>
          <w:color w:val="FF0000"/>
          <w:sz w:val="24"/>
        </w:rPr>
        <w:t>veicoli</w:t>
      </w:r>
      <w:r w:rsidRPr="00683F03">
        <w:rPr>
          <w:rFonts w:ascii="Cambria" w:hAnsi="Cambria" w:cstheme="minorHAnsi"/>
          <w:b w:val="0"/>
          <w:color w:val="FF0000"/>
          <w:sz w:val="24"/>
        </w:rPr>
        <w:t xml:space="preserve"> </w:t>
      </w:r>
      <w:r w:rsidRPr="00683F03">
        <w:rPr>
          <w:rFonts w:ascii="Cambria" w:hAnsi="Cambria" w:cstheme="minorHAnsi"/>
          <w:b w:val="0"/>
          <w:sz w:val="24"/>
        </w:rPr>
        <w:t>(1.281.897 veicoli radiati in confronto ai 1.755.365 del 2021).</w:t>
      </w:r>
    </w:p>
    <w:p w:rsidR="00D06A03" w:rsidRDefault="00D06A03" w:rsidP="00D06A03">
      <w:pPr>
        <w:pStyle w:val="Titolo"/>
        <w:spacing w:line="276" w:lineRule="auto"/>
        <w:jc w:val="both"/>
        <w:rPr>
          <w:rFonts w:ascii="Cambria" w:hAnsi="Cambria" w:cstheme="minorHAnsi"/>
          <w:b w:val="0"/>
          <w:sz w:val="24"/>
        </w:rPr>
      </w:pPr>
    </w:p>
    <w:p w:rsidR="00D06A03" w:rsidRDefault="00D06A03" w:rsidP="00D06A03">
      <w:pPr>
        <w:pStyle w:val="Titolo"/>
        <w:spacing w:line="276" w:lineRule="auto"/>
        <w:jc w:val="both"/>
        <w:rPr>
          <w:rFonts w:ascii="Cambria" w:hAnsi="Cambria" w:cstheme="minorHAnsi"/>
          <w:b w:val="0"/>
          <w:sz w:val="24"/>
        </w:rPr>
      </w:pPr>
    </w:p>
    <w:tbl>
      <w:tblPr>
        <w:tblW w:w="9560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1880"/>
        <w:gridCol w:w="1420"/>
        <w:gridCol w:w="1400"/>
        <w:gridCol w:w="1100"/>
        <w:gridCol w:w="1400"/>
        <w:gridCol w:w="1420"/>
        <w:gridCol w:w="940"/>
      </w:tblGrid>
      <w:tr w:rsidR="00D06A03" w:rsidRPr="007917B5" w:rsidTr="00D06A03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6A03" w:rsidRPr="007917B5" w:rsidRDefault="00D06A03" w:rsidP="00D06A03">
            <w:pPr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917B5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RADIAZIONI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PASSAGGI </w:t>
            </w:r>
            <w:proofErr w:type="spellStart"/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DI</w:t>
            </w:r>
            <w:proofErr w:type="spellEnd"/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 PROPRIETA'</w:t>
            </w:r>
          </w:p>
        </w:tc>
      </w:tr>
      <w:tr w:rsidR="00D06A03" w:rsidRPr="007917B5" w:rsidTr="00D06A03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6A03" w:rsidRPr="007917B5" w:rsidRDefault="00D06A03" w:rsidP="00D06A03">
            <w:pPr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917B5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DIC '21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DIC '22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% 22/21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DIC '21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DIC '22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% 22/21</w:t>
            </w:r>
          </w:p>
        </w:tc>
      </w:tr>
      <w:tr w:rsidR="00D06A03" w:rsidRPr="007917B5" w:rsidTr="00D06A03">
        <w:trPr>
          <w:trHeight w:val="4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AUTO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115.003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83.354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-27,5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238.062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228.281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-4,1</w:t>
            </w:r>
          </w:p>
        </w:tc>
      </w:tr>
      <w:tr w:rsidR="00D06A03" w:rsidRPr="007917B5" w:rsidTr="00D06A03">
        <w:trPr>
          <w:trHeight w:val="48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MOTO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9.466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8.507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30.834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31.089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szCs w:val="22"/>
              </w:rPr>
              <w:t>0,8</w:t>
            </w:r>
          </w:p>
        </w:tc>
      </w:tr>
      <w:tr w:rsidR="00D06A03" w:rsidRPr="007917B5" w:rsidTr="00D06A03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TUTTI I VEICOLI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136.386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101.646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308.026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298.101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-3,2</w:t>
            </w:r>
          </w:p>
        </w:tc>
      </w:tr>
      <w:tr w:rsidR="00D06A03" w:rsidRPr="007917B5" w:rsidTr="00D06A03">
        <w:trPr>
          <w:trHeight w:val="4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7917B5" w:rsidRDefault="00D06A03" w:rsidP="00D06A03">
            <w:pPr>
              <w:rPr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7917B5" w:rsidRDefault="00D06A03" w:rsidP="00D06A03">
            <w:pPr>
              <w:rPr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7917B5" w:rsidRDefault="00D06A03" w:rsidP="00D06A03">
            <w:pPr>
              <w:rPr>
                <w:color w:val="000000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7917B5" w:rsidRDefault="00D06A03" w:rsidP="00D06A03">
            <w:pPr>
              <w:rPr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7917B5" w:rsidRDefault="00D06A03" w:rsidP="00D06A03">
            <w:pPr>
              <w:rPr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7917B5" w:rsidRDefault="00D06A03" w:rsidP="00D06A03">
            <w:pPr>
              <w:rPr>
                <w:color w:val="000000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7917B5" w:rsidRDefault="00D06A03" w:rsidP="00D06A03">
            <w:pPr>
              <w:rPr>
                <w:color w:val="000000"/>
                <w:szCs w:val="22"/>
              </w:rPr>
            </w:pPr>
          </w:p>
        </w:tc>
      </w:tr>
      <w:tr w:rsidR="00D06A03" w:rsidRPr="007917B5" w:rsidTr="00D06A03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06A03" w:rsidRPr="007917B5" w:rsidRDefault="00D06A03" w:rsidP="00D06A03">
            <w:pPr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917B5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RADIAZIONI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PASSAGGI </w:t>
            </w:r>
            <w:proofErr w:type="spellStart"/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DI</w:t>
            </w:r>
            <w:proofErr w:type="spellEnd"/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 xml:space="preserve"> PROPRIETA'</w:t>
            </w:r>
          </w:p>
        </w:tc>
      </w:tr>
      <w:tr w:rsidR="00D06A03" w:rsidRPr="007917B5" w:rsidTr="00D06A03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6A03" w:rsidRPr="007917B5" w:rsidRDefault="00D06A03" w:rsidP="00D06A03">
            <w:pPr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917B5">
              <w:rPr>
                <w:rFonts w:ascii="Tahoma" w:hAnsi="Tahoma" w:cs="Tahoma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2021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2022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% 22/21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2022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% 22/21</w:t>
            </w:r>
          </w:p>
        </w:tc>
      </w:tr>
      <w:tr w:rsidR="00D06A03" w:rsidRPr="007917B5" w:rsidTr="00D06A03">
        <w:trPr>
          <w:trHeight w:val="45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AUTO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1.491.281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1.051.994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-29,5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3.033.816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2.725.019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-10,2</w:t>
            </w:r>
          </w:p>
        </w:tc>
      </w:tr>
      <w:tr w:rsidR="00D06A03" w:rsidRPr="007917B5" w:rsidTr="00D06A03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MOTO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119.040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114.538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648.402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616.694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-4,9</w:t>
            </w:r>
          </w:p>
        </w:tc>
      </w:tr>
      <w:tr w:rsidR="00D06A03" w:rsidRPr="007917B5" w:rsidTr="00D06A03">
        <w:trPr>
          <w:trHeight w:val="6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000000"/>
                <w:szCs w:val="22"/>
              </w:rPr>
              <w:t>TUTTI I VEICOLI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1.755.365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1.281.897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4.141.454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  <w:r w:rsidRPr="007917B5">
              <w:rPr>
                <w:rFonts w:ascii="Tahoma" w:hAnsi="Tahoma" w:cs="Tahoma"/>
                <w:color w:val="000000"/>
                <w:szCs w:val="22"/>
              </w:rPr>
              <w:t>3.799.057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6A03" w:rsidRPr="007917B5" w:rsidRDefault="00D06A03" w:rsidP="00D06A03">
            <w:pPr>
              <w:jc w:val="center"/>
              <w:rPr>
                <w:rFonts w:ascii="Tahoma" w:hAnsi="Tahoma" w:cs="Tahoma"/>
                <w:b/>
                <w:bCs/>
                <w:color w:val="FF0000"/>
                <w:szCs w:val="22"/>
              </w:rPr>
            </w:pPr>
            <w:r w:rsidRPr="007917B5">
              <w:rPr>
                <w:rFonts w:ascii="Tahoma" w:hAnsi="Tahoma" w:cs="Tahoma"/>
                <w:b/>
                <w:bCs/>
                <w:color w:val="FF0000"/>
                <w:szCs w:val="22"/>
              </w:rPr>
              <w:t>-8,3</w:t>
            </w:r>
          </w:p>
        </w:tc>
      </w:tr>
    </w:tbl>
    <w:p w:rsidR="00D06A03" w:rsidRDefault="00D06A03"/>
    <w:tbl>
      <w:tblPr>
        <w:tblW w:w="8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40"/>
        <w:gridCol w:w="840"/>
        <w:gridCol w:w="840"/>
        <w:gridCol w:w="740"/>
        <w:gridCol w:w="1180"/>
        <w:gridCol w:w="1180"/>
        <w:gridCol w:w="800"/>
      </w:tblGrid>
      <w:tr w:rsidR="00D06A03" w:rsidRPr="00D06A03" w:rsidTr="00D06A03">
        <w:trPr>
          <w:trHeight w:val="300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QUOTA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VAR%</w:t>
            </w:r>
            <w:proofErr w:type="spellEnd"/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QUOTA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VAR%</w:t>
            </w:r>
            <w:proofErr w:type="spellEnd"/>
          </w:p>
        </w:tc>
      </w:tr>
      <w:tr w:rsidR="00D06A03" w:rsidRPr="00D06A03" w:rsidTr="00D06A03">
        <w:trPr>
          <w:trHeight w:val="289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dic-21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dic-22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gen-dic</w:t>
            </w:r>
            <w:proofErr w:type="spellEnd"/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gen-dic</w:t>
            </w:r>
            <w:proofErr w:type="spellEnd"/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22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PRIME ISCRIZIONI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BENZINA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27,5%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25,5%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18,7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31,7%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28,2%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-21,8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DIESEL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19,8%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20,5%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22,7%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19,6%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-24,0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-24,3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-29,2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IBRIDO BENZINA/ELETTRICO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32,3%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35,2%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28,0%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34,2%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7,6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IBRIDO GASOLIO/ELETTRICO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56,3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3,9%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5,1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PASSAGGI AL NETTO MINIVOLTURE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BENZINA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36,1%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37,9%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37,0%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37,8%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-8,1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DIESEL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49,5%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45,7%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49,4%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47,3%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-13,9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59,2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IBRIDO BENZINA/ELETTRICO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35,9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IBRIDO GASOLIO/ELETTRICO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31,7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MINIVOLTURE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BENZINA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30,0%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30,4%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30,2%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30,9%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-2,4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DIESEL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54,5%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52,0%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52,8%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FF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FF0000"/>
                <w:sz w:val="22"/>
                <w:szCs w:val="22"/>
              </w:rPr>
              <w:t>-10,3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22,6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64,8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IBRIDO BENZINA/ELETTRICO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54,3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68,0</w:t>
            </w:r>
          </w:p>
        </w:tc>
      </w:tr>
      <w:tr w:rsidR="00D06A03" w:rsidRPr="00D06A03" w:rsidTr="00D06A03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IBRIDO GASOLIO/ELETTRICO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59,0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D06A03">
              <w:rPr>
                <w:rFonts w:ascii="Calibri" w:hAnsi="Calibri" w:cs="Times New Roman"/>
                <w:sz w:val="22"/>
                <w:szCs w:val="22"/>
              </w:rPr>
              <w:t>72,9</w:t>
            </w:r>
          </w:p>
        </w:tc>
      </w:tr>
    </w:tbl>
    <w:p w:rsidR="00D06A03" w:rsidRDefault="00D06A03" w:rsidP="00D06A03">
      <w:pPr>
        <w:rPr>
          <w:i/>
        </w:rPr>
      </w:pPr>
      <w:r w:rsidRPr="00D06A03">
        <w:rPr>
          <w:i/>
        </w:rPr>
        <w:t xml:space="preserve">N.B. Le variazioni percentuali sono calcolate rispetto ai valori assoluti </w:t>
      </w:r>
    </w:p>
    <w:p w:rsidR="00FE77EB" w:rsidRDefault="00D06A03" w:rsidP="00D06A03">
      <w:pPr>
        <w:rPr>
          <w:i/>
        </w:rPr>
      </w:pPr>
      <w:r w:rsidRPr="00D06A03">
        <w:rPr>
          <w:i/>
        </w:rPr>
        <w:t xml:space="preserve">delle </w:t>
      </w:r>
      <w:proofErr w:type="spellStart"/>
      <w:r w:rsidRPr="00D06A03">
        <w:rPr>
          <w:i/>
        </w:rPr>
        <w:t>formailà</w:t>
      </w:r>
      <w:proofErr w:type="spellEnd"/>
      <w:r>
        <w:rPr>
          <w:i/>
        </w:rPr>
        <w:t>,</w:t>
      </w:r>
      <w:r w:rsidRPr="00D06A03">
        <w:rPr>
          <w:i/>
        </w:rPr>
        <w:t xml:space="preserve"> non inseriti in tabella.</w:t>
      </w:r>
    </w:p>
    <w:p w:rsidR="00D06A03" w:rsidRDefault="00D06A03" w:rsidP="00D06A03">
      <w:pPr>
        <w:rPr>
          <w:i/>
        </w:rPr>
      </w:pPr>
    </w:p>
    <w:p w:rsidR="00D06A03" w:rsidRDefault="00D06A03" w:rsidP="00D06A03">
      <w:pPr>
        <w:rPr>
          <w:i/>
        </w:rPr>
      </w:pPr>
    </w:p>
    <w:tbl>
      <w:tblPr>
        <w:tblW w:w="9420" w:type="dxa"/>
        <w:tblInd w:w="48" w:type="dxa"/>
        <w:tblCellMar>
          <w:left w:w="70" w:type="dxa"/>
          <w:right w:w="70" w:type="dxa"/>
        </w:tblCellMar>
        <w:tblLook w:val="04A0"/>
      </w:tblPr>
      <w:tblGrid>
        <w:gridCol w:w="1204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D06A03" w:rsidRPr="00D06A03" w:rsidTr="00D06A03">
        <w:trPr>
          <w:trHeight w:val="405"/>
        </w:trPr>
        <w:tc>
          <w:tcPr>
            <w:tcW w:w="9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RADIAZIONI AUTOVETTURE SECONDO LA CLASSE EURO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(VALORI PERCENTUALI)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GEN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FEB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APR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MAG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GIU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LUG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AGO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SET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OTT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NOV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DIC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TOT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euro 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1,0%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1,1%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1,1%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1,1%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1,1%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1,0%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1,1%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1,1%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0,9%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1,0%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1,1%</w:t>
            </w:r>
          </w:p>
        </w:tc>
        <w:tc>
          <w:tcPr>
            <w:tcW w:w="6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1,1%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euro 1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1,9%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2,1%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2,0%</w:t>
            </w:r>
          </w:p>
        </w:tc>
        <w:tc>
          <w:tcPr>
            <w:tcW w:w="63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2,1%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2,2%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euro 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19,1%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18,3%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18,1%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18,5%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18,4%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16,3%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17,0%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17,4%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17,5%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17,3%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16,3%</w:t>
            </w:r>
          </w:p>
        </w:tc>
        <w:tc>
          <w:tcPr>
            <w:tcW w:w="63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18,0%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17,7%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euro 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27,2%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26,5%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26,1%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26,0%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25,6%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25,3%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25,0%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25,6%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25,3%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25,3%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25,2%</w:t>
            </w:r>
          </w:p>
        </w:tc>
        <w:tc>
          <w:tcPr>
            <w:tcW w:w="63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26,4%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25,8%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euro 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35,0%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35,1%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33,8%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32,6%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31,9%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37,3%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34,6%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34,6%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34,2%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34,7%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35,0%</w:t>
            </w:r>
          </w:p>
        </w:tc>
        <w:tc>
          <w:tcPr>
            <w:tcW w:w="63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33,9%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34,5%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euro 5-6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13,2%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14,8%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16,5%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17,3%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18,3%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15,4%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17,5%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16,9%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16,2%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15,6%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16,8%</w:t>
            </w:r>
          </w:p>
        </w:tc>
        <w:tc>
          <w:tcPr>
            <w:tcW w:w="63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15,8%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16,1%</w:t>
            </w:r>
          </w:p>
        </w:tc>
      </w:tr>
      <w:tr w:rsidR="00D06A03" w:rsidRPr="00D06A03" w:rsidTr="00D06A03">
        <w:trPr>
          <w:trHeight w:val="30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Non </w:t>
            </w: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identif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.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2,1%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2,5%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2,8%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2,7%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2,4%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3,8%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3,9%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3,5%</w:t>
            </w:r>
          </w:p>
        </w:tc>
        <w:tc>
          <w:tcPr>
            <w:tcW w:w="63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FFFFFF" w:fill="FFFFFF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color w:val="333333"/>
                <w:sz w:val="18"/>
                <w:szCs w:val="18"/>
              </w:rPr>
            </w:pPr>
            <w:r w:rsidRPr="00D06A03">
              <w:rPr>
                <w:color w:val="333333"/>
                <w:sz w:val="18"/>
                <w:szCs w:val="18"/>
              </w:rPr>
              <w:t>2,8%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sz w:val="18"/>
                <w:szCs w:val="18"/>
              </w:rPr>
            </w:pPr>
            <w:r w:rsidRPr="00D06A03">
              <w:rPr>
                <w:sz w:val="18"/>
                <w:szCs w:val="18"/>
              </w:rPr>
              <w:t>2,7%</w:t>
            </w:r>
          </w:p>
        </w:tc>
      </w:tr>
    </w:tbl>
    <w:p w:rsidR="00D06A03" w:rsidRDefault="00D06A03" w:rsidP="00D06A03">
      <w:pPr>
        <w:rPr>
          <w:i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760"/>
        <w:gridCol w:w="760"/>
        <w:gridCol w:w="600"/>
        <w:gridCol w:w="880"/>
        <w:gridCol w:w="880"/>
        <w:gridCol w:w="640"/>
        <w:gridCol w:w="760"/>
        <w:gridCol w:w="760"/>
        <w:gridCol w:w="600"/>
      </w:tblGrid>
      <w:tr w:rsidR="00D06A03" w:rsidRPr="00D06A03" w:rsidTr="00D06A03">
        <w:trPr>
          <w:trHeight w:val="402"/>
        </w:trPr>
        <w:tc>
          <w:tcPr>
            <w:tcW w:w="8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0" w:name="RANGE!A1"/>
            <w:bookmarkStart w:id="1" w:name="RANGE!A1:B1"/>
            <w:bookmarkEnd w:id="1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FORMALITA' PRA DICEMBRE 2021-2022</w:t>
            </w:r>
            <w:bookmarkEnd w:id="0"/>
          </w:p>
        </w:tc>
      </w:tr>
      <w:tr w:rsidR="00D06A03" w:rsidRPr="00D06A03" w:rsidTr="00D06A03">
        <w:trPr>
          <w:trHeight w:val="49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RADIAZIONI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PASSAGGI NETTI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PRIME ISCRIZIONI</w:t>
            </w:r>
          </w:p>
        </w:tc>
      </w:tr>
      <w:tr w:rsidR="00D06A03" w:rsidRPr="00D06A03" w:rsidTr="00D06A0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bookmarkStart w:id="2" w:name="RANGE!A3:H126"/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Provincia</w:t>
            </w:r>
            <w:bookmarkEnd w:id="2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bookmarkStart w:id="3" w:name="RANGE!I3:I126"/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2022</w:t>
            </w:r>
            <w:bookmarkEnd w:id="3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bookmarkStart w:id="4" w:name="RANGE!J3:J126"/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%</w:t>
            </w:r>
            <w:bookmarkEnd w:id="4"/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AL (Alessandria)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5" w:name="RANGE!E4:E126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1.805</w:t>
            </w:r>
            <w:bookmarkEnd w:id="5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AT (Asti)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BI (Biella)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-16,2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-17,6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CN (Cuneo)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2.683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NO (Novara)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TO (Torino)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2.559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8.287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6.091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13.701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124,9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VB (Verbania)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VC (Vercelli)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PIEMONTE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8.379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5.465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17.893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16.327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9.318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17.055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83,0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AO (Aosta)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VALLE D'AOSTA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-25,0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BG (Bergamo)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1.973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3.724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BS (Brescia)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4.747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-6,9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CO (Como)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2.238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2.167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CR (Cremona)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LC (Lecco)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-0,7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-0,8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LO (Lodi)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-0,6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MN (Mantova)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MI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(Milano)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5.776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10.169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9.735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5.513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MB (Monza Brianza)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2.962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2.813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PV (Pavia)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SO (Sondrio)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VA (Varese)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3.088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LOMBARDIA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18.686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13.378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35.467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33.873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15.241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16.446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BZ (Bolzano)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10.326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321,1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3.835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6.466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68,6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TN (Trento)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5.547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8.727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TRENTINO A.A.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2.710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2.100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5.678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12.633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122,5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9.382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15.193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61,9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BL (Belluno)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PD (Padova)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3.593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-0,9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RO (Rovigo)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TV (Treviso)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3.555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3.094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VE (Venezia)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2.883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VR (Verona)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3.653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VI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(Vicenza)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1.948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3.427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3.211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-6,3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VENETO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9.906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7.167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19.047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17.629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7.051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6.985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-0,9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GO (Gorizia)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-16,7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PN (Pordenone)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TS (Trieste)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UD (Udine)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FRIULI V.G.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2.945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2.059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5.089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4.419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-13,2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GE (Genova)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2.751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IM (Imperia)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SP (La Spezia)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SV (Savona)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LIGURIA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2.339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1.495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5.585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4.918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1.762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1.698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BO (Bologna)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3.681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FE (Ferrara)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FO (Forlì)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MO (Modena)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2.627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PR (Parma)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-6,9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PC (Piacenza)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RA (Ravenna)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-0,7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RE (Reggio Emilia)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2.287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2.183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2.822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RN (Rimini)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EMILIA ROMAGNA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8.830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6.176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17.475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16.226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-7,1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7.821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9.311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19,1</w:t>
            </w:r>
          </w:p>
        </w:tc>
      </w:tr>
      <w:tr w:rsidR="00D06A03" w:rsidRPr="00D06A03" w:rsidTr="00D06A03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NORD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54.145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38.118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106.813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106.615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52.764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68.667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30,1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AR (Arezzo)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FI (Firenze)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3.436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8.218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87,0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GR (Grosseto)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LI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(Livorno)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LU (Lucca)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MS (Massa Carrara)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PI (Pisa)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PT (Pistoia)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PO (Prato)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SI (Siena)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TOSCANA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6.643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4.725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-28,9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14.391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13.606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8.825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13.304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PG (Perugia)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2.866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2.671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-6,8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TR (Terni)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UMBRIA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1.742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1.427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3.785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3.536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-6,6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1.065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1.334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25,3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AN (Ancona)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AP (Ascoli Piceno)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FM (Fermo)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MC (Macerata)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PU (Pesaro e Urbino)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MARCHE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3.072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2.166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5.656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5.135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1.981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FR (Frosinone)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2.217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>LT (Latina)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2.274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RI (Rieti)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RM (Roma)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6.635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17.762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16.226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8.489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11.668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VT (Viterbo)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-6,3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LAZIO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12.424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8.934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24.630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22.610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-8,2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10.111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13.275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31,3</w:t>
            </w:r>
          </w:p>
        </w:tc>
      </w:tr>
      <w:tr w:rsidR="00D06A03" w:rsidRPr="00D06A03" w:rsidTr="00D06A03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23.881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17.252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48.462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44.887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21.893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29.894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36,5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AQ (L'Aquila)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-41,8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CH (Chieti)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PE (Pescara)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TE (Teramo)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ABRUZZO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2.683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1.713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-36,2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5.295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4.891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-7,6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1.459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1.513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CB (Campobasso)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IS (Isernia)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MOLISE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1.345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1.289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-4,1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-10,0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AV (Avellino)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BN (Benevento)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CE (Caserta)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NA (Napoli)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4.525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3.663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10.077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9.606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SA (Salerno)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4.280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4.137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CAMPANIA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9.269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6.922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20.668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19.633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4.048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4.651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14,9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BA (Bari)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4.919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BT (Barletta Andria Trani)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BR (Brindisi)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FG (Foggia)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2.753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2.455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LE (Lecce)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2.943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TA (Taranto)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-16,7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2.141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PUGLIA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7.744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5.785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-25,3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16.558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15.328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-7,4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2.947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3.021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MT (Matera)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PZ (Potenza)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BASILICATA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2.343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2.130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587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CZ (Catanzaro)    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1.299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CS (Cosenza)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2.787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2.751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KR (Crotone)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RC (Reggio Calabria)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VV (Vibo Valentia)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CALABRIA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2.849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2.115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7.587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7.233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-4,7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1.444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1.668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15,5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AG (Agrigento)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-16,2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CL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(Caltanissetta)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CT (Catania)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EN (Enna)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ME (Messina)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2.485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493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PA (Palermo) 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1.921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4.255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RG (Ragusa)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1.412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SR (Siracusa)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TP (Trapani)   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1.928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SICILIA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9.395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7.718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21.047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19.121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3.652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4.046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10,8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CA (Cagliari)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2.135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NU (Nuoro) 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 xml:space="preserve">OR (Oristano)  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SS (Sassari)   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2.198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SU (Sud Sardegna)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SARDEGNA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3.429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2.485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7.944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7.155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-10,1</w:t>
            </w:r>
          </w:p>
        </w:tc>
      </w:tr>
      <w:tr w:rsidR="00D06A03" w:rsidRPr="00D06A03" w:rsidTr="00D06A03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SUD E ISOLE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36.977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27.984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82.787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76.780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-7,3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15.886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17.006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7,1</w:t>
            </w:r>
          </w:p>
        </w:tc>
      </w:tr>
    </w:tbl>
    <w:p w:rsidR="00D06A03" w:rsidRDefault="00D06A03" w:rsidP="00D06A03">
      <w:pPr>
        <w:rPr>
          <w:i/>
        </w:rPr>
      </w:pPr>
    </w:p>
    <w:p w:rsidR="00D06A03" w:rsidRDefault="00D06A03" w:rsidP="00D06A03">
      <w:pPr>
        <w:rPr>
          <w:i/>
        </w:rPr>
      </w:pPr>
    </w:p>
    <w:tbl>
      <w:tblPr>
        <w:tblW w:w="9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880"/>
        <w:gridCol w:w="880"/>
        <w:gridCol w:w="600"/>
        <w:gridCol w:w="1060"/>
        <w:gridCol w:w="1060"/>
        <w:gridCol w:w="600"/>
        <w:gridCol w:w="880"/>
        <w:gridCol w:w="880"/>
        <w:gridCol w:w="600"/>
      </w:tblGrid>
      <w:tr w:rsidR="00D06A03" w:rsidRPr="00D06A03" w:rsidTr="00D06A03">
        <w:trPr>
          <w:trHeight w:val="402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FORMALITA' PRA GENNAIO-DICEMBRE 2021-2022</w:t>
            </w:r>
          </w:p>
        </w:tc>
      </w:tr>
      <w:tr w:rsidR="00D06A03" w:rsidRPr="00D06A03" w:rsidTr="00D06A03">
        <w:trPr>
          <w:trHeight w:val="49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 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RADIAZIONI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PASSAGGI NETTI</w:t>
            </w: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PRIME ISCRIZIONI</w:t>
            </w:r>
          </w:p>
        </w:tc>
      </w:tr>
      <w:tr w:rsidR="00D06A03" w:rsidRPr="00D06A03" w:rsidTr="00D06A03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Provincia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color w:val="000000"/>
                <w:sz w:val="18"/>
                <w:szCs w:val="18"/>
              </w:rPr>
              <w:t>%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AL (Alessandria)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11.393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7.718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22.894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20.152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10.419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8.939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AT (Asti)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5.797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12.055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10.493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3.594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BI (Biella)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4.852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9.081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CN (Cuneo)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17.472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11.800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33.070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14.937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NO (Novara)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9.326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5.966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16.533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9.177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TO (Torino)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54.056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34.753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113.283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100.390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120.367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125.940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VB (Verbania)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2.784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7.886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3.442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2.715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VC (Vercelli)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5.063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3.436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9.127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3.166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PIEMONTE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111.974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73.790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-34,1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227.221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201.896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173.339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170.004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AO (Aosta)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6.723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VALLE D'AOSTA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5.129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3.389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7.509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6.723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8.020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6.218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-22,5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BG (Bergamo)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26.605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-34,5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50.335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46.759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23.482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18.964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BS (Brescia)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31.346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20.349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64.649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58.564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29.099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23.367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CO (Como)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16.666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10.478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26.093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15.158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CR (Cremona)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9.907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16.839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15.525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8.375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6.856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LC (Lecco)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9.377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6.058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14.888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13.538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8.104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6.510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LO (Lodi)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4.568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-34,0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9.821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5.316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-17,3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MN (Mantova)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11.542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7.958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20.686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18.574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8.717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-17,9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MI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(Milano)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88.022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64.975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130.379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122.901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85.811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76.632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MB (Monza Brianza)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21.875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13.643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38.573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34.987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19.652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PV (Pavia)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14.594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9.446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25.549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12.595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11.058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SO (Sondrio)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3.214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9.305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8.422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3.095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VA (Varese)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23.283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15.381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42.314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38.402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LOMBARDIA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264.757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180.489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454.990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419.135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248.586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212.363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-14,6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BZ (Bolzano)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17.612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30.279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36.923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90.710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83.594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TN (Trento)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16.934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37.425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94.246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86.976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TRENTINO A.A.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34.546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27.224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67.704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69.166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184.956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170.571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-7,8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BL (Belluno)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3.747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10.420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8.818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3.501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-42,8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PD (Padova)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43.277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38.820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18.534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RO (Rovigo)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7.214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11.491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4.074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-17,8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TV (Treviso)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25.418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17.192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41.359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36.437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15.317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VE (Venezia)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19.132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34.801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16.978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13.287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VR (Verona)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24.923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16.683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47.295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42.851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22.231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17.699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VI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(Vicenza)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27.398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17.365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37.148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22.422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VENETO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135.355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90.006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230.766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206.394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115.615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88.426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-23,5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GO (Gorizia)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3.885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2.701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1.908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PN (Pordenone)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7.725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16.681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14.852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7.052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5.793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-17,9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 xml:space="preserve">TS (Trieste)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5.043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3.679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9.820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8.961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3.186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UD (Udine)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16.690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11.983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28.508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25.183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9.443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FRIULI V.G.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36.421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26.088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-28,4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62.176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55.232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25.167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20.329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-19,2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GE (Genova)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15.176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9.608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34.449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29.676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16.841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12.444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IM (Imperia)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4.564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3.223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9.693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3.067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SP (La Spezia)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4.248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2.750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-35,3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8.989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5.305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SV (Savona)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5.786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13.837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12.502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5.537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-16,1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LIGURIA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29.774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19.933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69.454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60.860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30.750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23.747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-22,8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BO (Bologna)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24.258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16.423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44.381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39.976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28.244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FE (Ferrara)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9.855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7.090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16.878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15.199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8.387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6.634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FO (Forlì)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9.612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18.723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17.146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8.284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6.677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MO (Modena)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17.760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12.531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35.963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32.822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18.660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15.690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PR (Parma)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10.473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22.939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20.786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11.126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-16,9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PC (Piacenza)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6.897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4.712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14.575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12.832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6.395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5.387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RA (Ravenna)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11.432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7.839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19.388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17.954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9.682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7.896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RE (Reggio Emilia)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15.211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10.304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27.871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25.545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24.158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30.160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RN (Rimini)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5.773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14.405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13.227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6.647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5.275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EMILIA ROMAGNA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113.496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79.031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215.123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195.487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121.583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111.098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-8,6</w:t>
            </w:r>
          </w:p>
        </w:tc>
      </w:tr>
      <w:tr w:rsidR="00D06A03" w:rsidRPr="00D06A03" w:rsidTr="00D06A03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NORD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731.452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499.950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-31,6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1.334.943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1.214.893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908.016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802.756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AR (Arezzo)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8.408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5.588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18.230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16.382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7.889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6.483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-17,8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FI (Firenze)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29.529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16.885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42.854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38.567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81.168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74.366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GR (Grosseto)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11.655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3.462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LI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(Livorno)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7.300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4.949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13.681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8.587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7.487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LU (Lucca)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9.108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5.978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18.261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16.775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11.667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MS (Massa Carrara)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4.125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2.567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5.209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4.511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PI (Pisa)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9.689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6.192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17.511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11.191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PT (Pistoia)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9.582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6.469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17.049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14.912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8.391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6.638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PO (Prato)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5.185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3.229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11.029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10.503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7.852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6.992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SI (Siena)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7.072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13.768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12.613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6.758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5.815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TOSCANA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96.286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60.869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-36,8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178.348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160.632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154.908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136.960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PG (Perugia)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18.448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13.096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36.699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32.606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14.409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11.915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-17,3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TR (Terni)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5.714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11.991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10.274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4.247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UMBRIA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24.162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17.486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-27,6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48.690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42.880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18.656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15.268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-18,2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AN (Ancona)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12.412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8.915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-28,2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23.085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20.179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10.205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7.667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AP (Ascoli Piceno)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5.234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3.804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9.176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3.460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FM (Fermo)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3.138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7.187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MC (Macerata)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8.062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5.712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15.014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13.521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5.097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PU (Pesaro e Urbino)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6.861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14.629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13.227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7.788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6.527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-16,2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MARCHE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36.890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25.942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70.120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62.369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31.467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25.080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-20,3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FR (Frosinone)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8.829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28.342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25.176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7.670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6.508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LT (Latina)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14.808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10.487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32.613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28.675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8.932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6.949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RI (Rieti)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3.211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9.461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2.567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1.941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RM (Roma)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123.475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84.287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224.301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204.452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125.058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125.730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0,5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VT (Viterbo)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9.906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6.654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-32,8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19.264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16.495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5.663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LAZIO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164.957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113.468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-31,2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313.981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282.955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149.890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145.523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-2,9</w:t>
            </w:r>
          </w:p>
        </w:tc>
      </w:tr>
      <w:tr w:rsidR="00D06A03" w:rsidRPr="00D06A03" w:rsidTr="00D06A03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322.295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217.765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-32,4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611.139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548.836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354.921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322.831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AQ (L'Aquila)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5.651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15.963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14.041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5.230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CH (Chieti)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9.905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6.901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19.395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16.951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6.944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lastRenderedPageBreak/>
              <w:t xml:space="preserve">PE (Pescara)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6.881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5.067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13.785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5.893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4.812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TE (Teramo)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7.840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5.756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16.462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14.654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6.336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ABRUZZO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32.598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23.375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67.534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59.432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24.403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19.497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-20,1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CB (Campobasso)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5.015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12.494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11.196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2.605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IS (Isernia)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4.954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4.470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891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MOLISE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7.121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5.822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-18,2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17.448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15.666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3.496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3.078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-12,0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AV (Avellino)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9.712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6.624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-31,8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21.561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18.532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5.057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4.141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BN (Benevento)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6.769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4.299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3.528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2.567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CE (Caserta)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20.508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14.806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48.885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10.064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NA (Napoli)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58.447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46.659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140.165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121.288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29.019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25.352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SA (Salerno)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22.131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15.685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-29,1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57.139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50.167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13.798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CAMPANIA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117.567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88.073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-25,1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282.120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244.657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62.512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55.157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BA (Bari)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30.293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22.488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67.814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59.388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19.627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14.574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BT (Barletta Andria Trani)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8.677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6.613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21.404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18.290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3.024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BR (Brindisi)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9.827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7.083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23.518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21.358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3.820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2.869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FG (Foggia)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12.796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9.393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37.031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31.908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5.130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3.786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LE (Lecce)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20.634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15.640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42.770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37.326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9.803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7.835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TA (Taranto)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12.879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32.273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28.360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4.733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-23,7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PUGLIA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95.106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70.581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-25,8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224.810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196.630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47.610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36.055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-24,3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MT (Matera)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4.578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3.188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10.586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3.707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3.505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-5,5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PZ (Potenza)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8.039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6.458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19.209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16.807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4.914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3.745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BASILICATA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12.617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9.646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-23,5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29.795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25.937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8.621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7.249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-15,9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CZ (Catanzaro)    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7.921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4.977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-37,2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18.163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15.968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6.075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4.723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CS (Cosenza)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13.455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9.896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-26,5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37.493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33.410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9.236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7.392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-20,0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KR (Crotone)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2.663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2.004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8.785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7.773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-27,5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RC (Reggio Calabria)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8.363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27.217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24.815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6.504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5.063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VV (Vibo Valentia)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2.648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1.968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7.808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6.816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1.735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CALABRIA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35.050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25.177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-28,2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99.466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88.783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25.687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20.051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-21,9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AG (Agrigento)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9.068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7.308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19.663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4.249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CL</w:t>
            </w:r>
            <w:proofErr w:type="spellEnd"/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(Caltanissetta)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5.120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13.454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11.746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2.397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1.889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-21,2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CT (Catania)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68.401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61.084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-16,9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EN (Enna)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3.166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2.432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8.751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7.368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1.332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1.084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-18,6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ME (Messina)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11.346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30.632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27.936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8.225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-24,6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PA (Palermo) 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22.451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19.208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59.835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53.798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16.226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14.149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RG (Ragusa)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7.278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5.653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18.653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17.232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4.721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3.811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SR (Siracusa)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9.734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7.562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22.896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21.393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-6,6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5.299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4.694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-11,4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TP (Trapani) 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9.506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8.185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-13,9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24.307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22.057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4.750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4.309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-9,3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SICILIA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99.676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81.389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269.023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242.275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60.425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50.474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-16,5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CA (Cagliari)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10.878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8.362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-23,1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24.119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22.402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9.247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7.349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NU (Nuoro)  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4.579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4.075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-11,0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13.109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11.901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2.100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1.559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-25,8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OR (Oristano)   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3.971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3.163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9.460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8.094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1.639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1.145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-30,1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SS (Sassari)    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12.106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9.743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29.912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27.185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7.413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5.947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-19,8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SU (Sud Sardegna)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6.265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4.872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-22,2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20.936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18.327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-12,5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3.846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3.057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-20,5</w:t>
            </w:r>
          </w:p>
        </w:tc>
      </w:tr>
      <w:tr w:rsidR="00D06A03" w:rsidRPr="00D06A03" w:rsidTr="00D06A0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SARDEGNA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37.799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30.216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-20,1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97.536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87.910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24.245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19.057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-21,4</w:t>
            </w:r>
          </w:p>
        </w:tc>
      </w:tr>
      <w:tr w:rsidR="00D06A03" w:rsidRPr="00D06A03" w:rsidTr="00D06A03">
        <w:trPr>
          <w:trHeight w:val="40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SUD E ISOLE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437.534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334.279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-23,6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1.087.732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961.291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-11,6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256.999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210.618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6A03" w:rsidRPr="00D06A03" w:rsidRDefault="00D06A03" w:rsidP="00D06A0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D06A0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-18,0</w:t>
            </w:r>
          </w:p>
        </w:tc>
      </w:tr>
    </w:tbl>
    <w:p w:rsidR="00D06A03" w:rsidRDefault="00D06A03" w:rsidP="00D06A03">
      <w:pPr>
        <w:rPr>
          <w:i/>
        </w:rPr>
      </w:pPr>
    </w:p>
    <w:sectPr w:rsidR="00D06A03" w:rsidSect="00D06A03">
      <w:footerReference w:type="default" r:id="rId9"/>
      <w:pgSz w:w="11906" w:h="16838"/>
      <w:pgMar w:top="441" w:right="1133" w:bottom="899" w:left="993" w:header="708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55" w:rsidRDefault="00D36855" w:rsidP="00D55B5B">
      <w:r>
        <w:separator/>
      </w:r>
    </w:p>
  </w:endnote>
  <w:endnote w:type="continuationSeparator" w:id="0">
    <w:p w:rsidR="00D36855" w:rsidRDefault="00D36855" w:rsidP="00D5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top w:val="single" w:sz="4" w:space="0" w:color="auto"/>
      </w:tblBorders>
      <w:tblLook w:val="0080"/>
    </w:tblPr>
    <w:tblGrid>
      <w:gridCol w:w="9781"/>
    </w:tblGrid>
    <w:tr w:rsidR="00D06A03" w:rsidRPr="00D06A03" w:rsidTr="00D06A03">
      <w:tc>
        <w:tcPr>
          <w:tcW w:w="9781" w:type="dxa"/>
          <w:tcBorders>
            <w:top w:val="single" w:sz="4" w:space="0" w:color="auto"/>
          </w:tcBorders>
        </w:tcPr>
        <w:p w:rsidR="00D06A03" w:rsidRPr="00A92A4E" w:rsidRDefault="00D06A03" w:rsidP="00D06A03">
          <w:pPr>
            <w:pStyle w:val="Pidipagina"/>
            <w:rPr>
              <w:b/>
              <w:bCs/>
              <w:sz w:val="6"/>
              <w:szCs w:val="6"/>
            </w:rPr>
          </w:pPr>
        </w:p>
        <w:p w:rsidR="00D06A03" w:rsidRPr="00A92A4E" w:rsidRDefault="00D06A03" w:rsidP="00D06A03">
          <w:pPr>
            <w:pStyle w:val="Pidipagina"/>
            <w:jc w:val="center"/>
            <w:rPr>
              <w:b/>
              <w:bCs/>
              <w:sz w:val="16"/>
              <w:szCs w:val="16"/>
            </w:rPr>
          </w:pPr>
          <w:r w:rsidRPr="00A92A4E">
            <w:rPr>
              <w:b/>
              <w:bCs/>
              <w:sz w:val="16"/>
              <w:szCs w:val="16"/>
            </w:rPr>
            <w:t>ACI – AUTOMOBILE CLUB D’ITALIA</w:t>
          </w:r>
        </w:p>
        <w:p w:rsidR="00D06A03" w:rsidRPr="00A92A4E" w:rsidRDefault="00D06A03" w:rsidP="00D06A03">
          <w:pPr>
            <w:pStyle w:val="Pidipagina"/>
            <w:jc w:val="center"/>
            <w:rPr>
              <w:i/>
              <w:iCs/>
              <w:sz w:val="16"/>
              <w:szCs w:val="16"/>
            </w:rPr>
          </w:pPr>
          <w:r w:rsidRPr="00A92A4E">
            <w:rPr>
              <w:i/>
              <w:iCs/>
              <w:sz w:val="16"/>
              <w:szCs w:val="16"/>
            </w:rPr>
            <w:t>Ufficio Stampa</w:t>
          </w:r>
        </w:p>
        <w:p w:rsidR="00D06A03" w:rsidRPr="00A92A4E" w:rsidRDefault="00D06A03" w:rsidP="00FE77EB">
          <w:pPr>
            <w:pStyle w:val="Pidipagina"/>
            <w:jc w:val="center"/>
            <w:rPr>
              <w:sz w:val="16"/>
              <w:szCs w:val="16"/>
              <w:lang w:val="de-DE"/>
            </w:rPr>
          </w:pPr>
          <w:r w:rsidRPr="00A92A4E">
            <w:rPr>
              <w:sz w:val="16"/>
              <w:szCs w:val="16"/>
              <w:lang w:val="de-DE"/>
            </w:rPr>
            <w:t>Tel. 06.</w:t>
          </w:r>
          <w:r>
            <w:rPr>
              <w:sz w:val="16"/>
              <w:szCs w:val="16"/>
              <w:lang w:val="de-DE"/>
            </w:rPr>
            <w:t xml:space="preserve">45406719 </w:t>
          </w:r>
          <w:r w:rsidRPr="00A92A4E">
            <w:rPr>
              <w:sz w:val="16"/>
              <w:szCs w:val="16"/>
              <w:lang w:val="de-DE"/>
            </w:rPr>
            <w:t>– ufficio.stampa@aci.it</w:t>
          </w:r>
        </w:p>
      </w:tc>
    </w:tr>
  </w:tbl>
  <w:p w:rsidR="00D06A03" w:rsidRPr="00772F65" w:rsidRDefault="00D06A03" w:rsidP="00D06A03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55" w:rsidRDefault="00D36855" w:rsidP="00D55B5B">
      <w:r>
        <w:separator/>
      </w:r>
    </w:p>
  </w:footnote>
  <w:footnote w:type="continuationSeparator" w:id="0">
    <w:p w:rsidR="00D36855" w:rsidRDefault="00D36855" w:rsidP="00D55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A81"/>
    <w:multiLevelType w:val="hybridMultilevel"/>
    <w:tmpl w:val="9044EF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40A1E"/>
    <w:multiLevelType w:val="hybridMultilevel"/>
    <w:tmpl w:val="B13CE7C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50E"/>
    <w:rsid w:val="00001DBC"/>
    <w:rsid w:val="00001FAC"/>
    <w:rsid w:val="000029B4"/>
    <w:rsid w:val="0001187A"/>
    <w:rsid w:val="000212C4"/>
    <w:rsid w:val="00021839"/>
    <w:rsid w:val="00021A3F"/>
    <w:rsid w:val="00025B79"/>
    <w:rsid w:val="000341CE"/>
    <w:rsid w:val="0003686A"/>
    <w:rsid w:val="00044A20"/>
    <w:rsid w:val="00045254"/>
    <w:rsid w:val="00046A8A"/>
    <w:rsid w:val="00050644"/>
    <w:rsid w:val="000506CF"/>
    <w:rsid w:val="00054CEF"/>
    <w:rsid w:val="0006258E"/>
    <w:rsid w:val="00063987"/>
    <w:rsid w:val="000721E5"/>
    <w:rsid w:val="00075137"/>
    <w:rsid w:val="00075707"/>
    <w:rsid w:val="00081D2A"/>
    <w:rsid w:val="00086A12"/>
    <w:rsid w:val="00096701"/>
    <w:rsid w:val="000A1690"/>
    <w:rsid w:val="000A4EBB"/>
    <w:rsid w:val="000B0BD8"/>
    <w:rsid w:val="000B7D9B"/>
    <w:rsid w:val="000C06A5"/>
    <w:rsid w:val="000C262E"/>
    <w:rsid w:val="000C71A8"/>
    <w:rsid w:val="000D1204"/>
    <w:rsid w:val="000F2E67"/>
    <w:rsid w:val="00106DE3"/>
    <w:rsid w:val="00111D55"/>
    <w:rsid w:val="00112040"/>
    <w:rsid w:val="001151F6"/>
    <w:rsid w:val="001165F9"/>
    <w:rsid w:val="001306A0"/>
    <w:rsid w:val="0013172B"/>
    <w:rsid w:val="00134415"/>
    <w:rsid w:val="001426B0"/>
    <w:rsid w:val="0015633F"/>
    <w:rsid w:val="00163328"/>
    <w:rsid w:val="00163C05"/>
    <w:rsid w:val="00164F12"/>
    <w:rsid w:val="00165314"/>
    <w:rsid w:val="00166EA4"/>
    <w:rsid w:val="00167473"/>
    <w:rsid w:val="0016772F"/>
    <w:rsid w:val="00170DF1"/>
    <w:rsid w:val="001722E1"/>
    <w:rsid w:val="00172B0E"/>
    <w:rsid w:val="00175E9F"/>
    <w:rsid w:val="001920C8"/>
    <w:rsid w:val="00194BFF"/>
    <w:rsid w:val="00196592"/>
    <w:rsid w:val="001A6A77"/>
    <w:rsid w:val="001A79F7"/>
    <w:rsid w:val="001B1D6A"/>
    <w:rsid w:val="001B4038"/>
    <w:rsid w:val="001B785A"/>
    <w:rsid w:val="001C019E"/>
    <w:rsid w:val="001C0FCB"/>
    <w:rsid w:val="001C269B"/>
    <w:rsid w:val="001C5E2A"/>
    <w:rsid w:val="001D2EA8"/>
    <w:rsid w:val="001E0533"/>
    <w:rsid w:val="001E2526"/>
    <w:rsid w:val="001F0F42"/>
    <w:rsid w:val="001F353F"/>
    <w:rsid w:val="001F4C36"/>
    <w:rsid w:val="0020438C"/>
    <w:rsid w:val="002130CD"/>
    <w:rsid w:val="002141B5"/>
    <w:rsid w:val="002250C8"/>
    <w:rsid w:val="002256CA"/>
    <w:rsid w:val="00226162"/>
    <w:rsid w:val="00230E8E"/>
    <w:rsid w:val="00231E3F"/>
    <w:rsid w:val="0023365F"/>
    <w:rsid w:val="0023573D"/>
    <w:rsid w:val="00244916"/>
    <w:rsid w:val="00246181"/>
    <w:rsid w:val="00252E0A"/>
    <w:rsid w:val="00257FCA"/>
    <w:rsid w:val="002616B2"/>
    <w:rsid w:val="00261712"/>
    <w:rsid w:val="002630DA"/>
    <w:rsid w:val="00273C86"/>
    <w:rsid w:val="00284045"/>
    <w:rsid w:val="002856A4"/>
    <w:rsid w:val="00290B8A"/>
    <w:rsid w:val="00296545"/>
    <w:rsid w:val="002A07B5"/>
    <w:rsid w:val="002A1359"/>
    <w:rsid w:val="002A18BE"/>
    <w:rsid w:val="002A23D9"/>
    <w:rsid w:val="002A2B1D"/>
    <w:rsid w:val="002A4237"/>
    <w:rsid w:val="002A476D"/>
    <w:rsid w:val="002A718B"/>
    <w:rsid w:val="002B1FFE"/>
    <w:rsid w:val="002B208F"/>
    <w:rsid w:val="002B7934"/>
    <w:rsid w:val="002C02D2"/>
    <w:rsid w:val="002C4E2D"/>
    <w:rsid w:val="002D0B00"/>
    <w:rsid w:val="002D16FE"/>
    <w:rsid w:val="002D4602"/>
    <w:rsid w:val="002D6E15"/>
    <w:rsid w:val="002E48A7"/>
    <w:rsid w:val="002F077A"/>
    <w:rsid w:val="002F30B2"/>
    <w:rsid w:val="0030361B"/>
    <w:rsid w:val="00321FA7"/>
    <w:rsid w:val="0032635A"/>
    <w:rsid w:val="00327F7B"/>
    <w:rsid w:val="00334B0D"/>
    <w:rsid w:val="00342C11"/>
    <w:rsid w:val="00342E6B"/>
    <w:rsid w:val="003541A8"/>
    <w:rsid w:val="00357520"/>
    <w:rsid w:val="0036614F"/>
    <w:rsid w:val="00373CB5"/>
    <w:rsid w:val="00381707"/>
    <w:rsid w:val="003834ED"/>
    <w:rsid w:val="00390AD5"/>
    <w:rsid w:val="00396909"/>
    <w:rsid w:val="00397D9E"/>
    <w:rsid w:val="003A17C0"/>
    <w:rsid w:val="003A5B1B"/>
    <w:rsid w:val="003B280A"/>
    <w:rsid w:val="003C2B2D"/>
    <w:rsid w:val="003C30C6"/>
    <w:rsid w:val="003C6206"/>
    <w:rsid w:val="003C7B51"/>
    <w:rsid w:val="003D7CDA"/>
    <w:rsid w:val="003E3731"/>
    <w:rsid w:val="003F14D1"/>
    <w:rsid w:val="003F2C83"/>
    <w:rsid w:val="003F31AB"/>
    <w:rsid w:val="003F57A3"/>
    <w:rsid w:val="00404F28"/>
    <w:rsid w:val="00412696"/>
    <w:rsid w:val="004144CC"/>
    <w:rsid w:val="00424309"/>
    <w:rsid w:val="004430A0"/>
    <w:rsid w:val="00443C07"/>
    <w:rsid w:val="004543E1"/>
    <w:rsid w:val="00456274"/>
    <w:rsid w:val="00456A7E"/>
    <w:rsid w:val="00461A7A"/>
    <w:rsid w:val="004632EF"/>
    <w:rsid w:val="00464D5D"/>
    <w:rsid w:val="004671CA"/>
    <w:rsid w:val="0046730C"/>
    <w:rsid w:val="00467391"/>
    <w:rsid w:val="00480664"/>
    <w:rsid w:val="00487DC3"/>
    <w:rsid w:val="00491B89"/>
    <w:rsid w:val="00494896"/>
    <w:rsid w:val="00494F78"/>
    <w:rsid w:val="004B496A"/>
    <w:rsid w:val="004B6F83"/>
    <w:rsid w:val="004C379B"/>
    <w:rsid w:val="004C5430"/>
    <w:rsid w:val="004C7973"/>
    <w:rsid w:val="004D07EE"/>
    <w:rsid w:val="004F2EE3"/>
    <w:rsid w:val="004F498F"/>
    <w:rsid w:val="004F750C"/>
    <w:rsid w:val="005011A8"/>
    <w:rsid w:val="00502061"/>
    <w:rsid w:val="00502A79"/>
    <w:rsid w:val="00505AD8"/>
    <w:rsid w:val="00512869"/>
    <w:rsid w:val="0051389A"/>
    <w:rsid w:val="00527DAF"/>
    <w:rsid w:val="00530AA3"/>
    <w:rsid w:val="00532610"/>
    <w:rsid w:val="005402BD"/>
    <w:rsid w:val="00542C5E"/>
    <w:rsid w:val="00543661"/>
    <w:rsid w:val="00543BD0"/>
    <w:rsid w:val="005473C5"/>
    <w:rsid w:val="00547EC8"/>
    <w:rsid w:val="0055220C"/>
    <w:rsid w:val="005560DC"/>
    <w:rsid w:val="005615FE"/>
    <w:rsid w:val="0056463A"/>
    <w:rsid w:val="00564743"/>
    <w:rsid w:val="00570134"/>
    <w:rsid w:val="005720A2"/>
    <w:rsid w:val="005727C7"/>
    <w:rsid w:val="005775AB"/>
    <w:rsid w:val="00580BA1"/>
    <w:rsid w:val="00582018"/>
    <w:rsid w:val="005847C2"/>
    <w:rsid w:val="00587819"/>
    <w:rsid w:val="00587D07"/>
    <w:rsid w:val="00590292"/>
    <w:rsid w:val="005967E6"/>
    <w:rsid w:val="005A3B1E"/>
    <w:rsid w:val="005A4E2E"/>
    <w:rsid w:val="005A5369"/>
    <w:rsid w:val="005B3886"/>
    <w:rsid w:val="005B69CB"/>
    <w:rsid w:val="005B7BC1"/>
    <w:rsid w:val="005C2CCE"/>
    <w:rsid w:val="005D12E9"/>
    <w:rsid w:val="005E3787"/>
    <w:rsid w:val="005E6369"/>
    <w:rsid w:val="005F08CC"/>
    <w:rsid w:val="005F101F"/>
    <w:rsid w:val="005F376D"/>
    <w:rsid w:val="006033CF"/>
    <w:rsid w:val="00607762"/>
    <w:rsid w:val="00607EC9"/>
    <w:rsid w:val="00615F99"/>
    <w:rsid w:val="00621F79"/>
    <w:rsid w:val="00624F00"/>
    <w:rsid w:val="00625DCD"/>
    <w:rsid w:val="006303CB"/>
    <w:rsid w:val="00637AEF"/>
    <w:rsid w:val="006429E9"/>
    <w:rsid w:val="0064302D"/>
    <w:rsid w:val="006473EB"/>
    <w:rsid w:val="00647703"/>
    <w:rsid w:val="006623F5"/>
    <w:rsid w:val="006652E0"/>
    <w:rsid w:val="0067193F"/>
    <w:rsid w:val="00690D12"/>
    <w:rsid w:val="0069303C"/>
    <w:rsid w:val="006964A2"/>
    <w:rsid w:val="006A1737"/>
    <w:rsid w:val="006B1AE7"/>
    <w:rsid w:val="006B4C6B"/>
    <w:rsid w:val="006C1769"/>
    <w:rsid w:val="006C207B"/>
    <w:rsid w:val="006E270F"/>
    <w:rsid w:val="006E5693"/>
    <w:rsid w:val="006E6A70"/>
    <w:rsid w:val="006F0A30"/>
    <w:rsid w:val="006F1F31"/>
    <w:rsid w:val="007107E3"/>
    <w:rsid w:val="0071131E"/>
    <w:rsid w:val="007136F1"/>
    <w:rsid w:val="007205BF"/>
    <w:rsid w:val="00723D02"/>
    <w:rsid w:val="00723D6B"/>
    <w:rsid w:val="00732A16"/>
    <w:rsid w:val="007365B9"/>
    <w:rsid w:val="00757A6F"/>
    <w:rsid w:val="00762F2D"/>
    <w:rsid w:val="00767722"/>
    <w:rsid w:val="00767F7C"/>
    <w:rsid w:val="0077052B"/>
    <w:rsid w:val="0077094C"/>
    <w:rsid w:val="0077541D"/>
    <w:rsid w:val="00781CAA"/>
    <w:rsid w:val="00782ABD"/>
    <w:rsid w:val="00783C7C"/>
    <w:rsid w:val="0078487D"/>
    <w:rsid w:val="00792985"/>
    <w:rsid w:val="007A10C9"/>
    <w:rsid w:val="007A1280"/>
    <w:rsid w:val="007B3242"/>
    <w:rsid w:val="007C1AF7"/>
    <w:rsid w:val="007C37A8"/>
    <w:rsid w:val="007D1863"/>
    <w:rsid w:val="007D2EB9"/>
    <w:rsid w:val="007F0B55"/>
    <w:rsid w:val="007F6EF4"/>
    <w:rsid w:val="007F7CD1"/>
    <w:rsid w:val="00800A4C"/>
    <w:rsid w:val="008017F0"/>
    <w:rsid w:val="00802F78"/>
    <w:rsid w:val="00804E54"/>
    <w:rsid w:val="00822767"/>
    <w:rsid w:val="00822BCA"/>
    <w:rsid w:val="008338E3"/>
    <w:rsid w:val="00843E4A"/>
    <w:rsid w:val="0085292A"/>
    <w:rsid w:val="00855091"/>
    <w:rsid w:val="00855AD2"/>
    <w:rsid w:val="00856698"/>
    <w:rsid w:val="0086699C"/>
    <w:rsid w:val="00867CE0"/>
    <w:rsid w:val="008714C1"/>
    <w:rsid w:val="00874205"/>
    <w:rsid w:val="008753E5"/>
    <w:rsid w:val="00880813"/>
    <w:rsid w:val="008824FF"/>
    <w:rsid w:val="00882F2E"/>
    <w:rsid w:val="00883E06"/>
    <w:rsid w:val="00885111"/>
    <w:rsid w:val="0088551E"/>
    <w:rsid w:val="00891E25"/>
    <w:rsid w:val="00894099"/>
    <w:rsid w:val="00895942"/>
    <w:rsid w:val="00896818"/>
    <w:rsid w:val="0089788A"/>
    <w:rsid w:val="008A0CA9"/>
    <w:rsid w:val="008B4322"/>
    <w:rsid w:val="008B5FDC"/>
    <w:rsid w:val="008D023B"/>
    <w:rsid w:val="008D1472"/>
    <w:rsid w:val="008D2626"/>
    <w:rsid w:val="008D565E"/>
    <w:rsid w:val="008D6658"/>
    <w:rsid w:val="008D7EB3"/>
    <w:rsid w:val="008E0EA8"/>
    <w:rsid w:val="008E1627"/>
    <w:rsid w:val="008E2CB9"/>
    <w:rsid w:val="008E7267"/>
    <w:rsid w:val="008E7A5A"/>
    <w:rsid w:val="008F25D3"/>
    <w:rsid w:val="008F6AD3"/>
    <w:rsid w:val="008F7E47"/>
    <w:rsid w:val="00907762"/>
    <w:rsid w:val="00920D7F"/>
    <w:rsid w:val="00921924"/>
    <w:rsid w:val="009258B3"/>
    <w:rsid w:val="009300A1"/>
    <w:rsid w:val="009316F0"/>
    <w:rsid w:val="00937EC7"/>
    <w:rsid w:val="00943D32"/>
    <w:rsid w:val="00951E17"/>
    <w:rsid w:val="009611A8"/>
    <w:rsid w:val="00961EE7"/>
    <w:rsid w:val="00966C71"/>
    <w:rsid w:val="009679A1"/>
    <w:rsid w:val="00973FB4"/>
    <w:rsid w:val="00975447"/>
    <w:rsid w:val="009B16BF"/>
    <w:rsid w:val="009B1DA7"/>
    <w:rsid w:val="009B3784"/>
    <w:rsid w:val="009B62E3"/>
    <w:rsid w:val="009B6FCC"/>
    <w:rsid w:val="009C1362"/>
    <w:rsid w:val="009C2158"/>
    <w:rsid w:val="009C2D88"/>
    <w:rsid w:val="009D110D"/>
    <w:rsid w:val="009D4DBD"/>
    <w:rsid w:val="009D59DB"/>
    <w:rsid w:val="009D686E"/>
    <w:rsid w:val="009D6E71"/>
    <w:rsid w:val="009E4CB8"/>
    <w:rsid w:val="009E6984"/>
    <w:rsid w:val="00A02910"/>
    <w:rsid w:val="00A06C23"/>
    <w:rsid w:val="00A06E59"/>
    <w:rsid w:val="00A113F0"/>
    <w:rsid w:val="00A1628C"/>
    <w:rsid w:val="00A22021"/>
    <w:rsid w:val="00A2272B"/>
    <w:rsid w:val="00A2278E"/>
    <w:rsid w:val="00A22ED8"/>
    <w:rsid w:val="00A23B5A"/>
    <w:rsid w:val="00A30BC7"/>
    <w:rsid w:val="00A40CCA"/>
    <w:rsid w:val="00A5406F"/>
    <w:rsid w:val="00A57205"/>
    <w:rsid w:val="00A626E4"/>
    <w:rsid w:val="00A667FB"/>
    <w:rsid w:val="00A70D5F"/>
    <w:rsid w:val="00A7113F"/>
    <w:rsid w:val="00A73F03"/>
    <w:rsid w:val="00A76DF9"/>
    <w:rsid w:val="00A8096C"/>
    <w:rsid w:val="00A868B8"/>
    <w:rsid w:val="00A91CF5"/>
    <w:rsid w:val="00A95FBD"/>
    <w:rsid w:val="00AA2ADD"/>
    <w:rsid w:val="00AA2E00"/>
    <w:rsid w:val="00AA3ACF"/>
    <w:rsid w:val="00AA41DF"/>
    <w:rsid w:val="00AB450E"/>
    <w:rsid w:val="00AB5CB9"/>
    <w:rsid w:val="00AB5F0C"/>
    <w:rsid w:val="00AC4476"/>
    <w:rsid w:val="00AC7171"/>
    <w:rsid w:val="00AC7FEB"/>
    <w:rsid w:val="00AD6787"/>
    <w:rsid w:val="00AD7FE0"/>
    <w:rsid w:val="00AE1327"/>
    <w:rsid w:val="00AE3620"/>
    <w:rsid w:val="00AF1DEA"/>
    <w:rsid w:val="00AF230A"/>
    <w:rsid w:val="00B0645A"/>
    <w:rsid w:val="00B1476D"/>
    <w:rsid w:val="00B15582"/>
    <w:rsid w:val="00B17C3F"/>
    <w:rsid w:val="00B23D60"/>
    <w:rsid w:val="00B23FAE"/>
    <w:rsid w:val="00B253F2"/>
    <w:rsid w:val="00B46917"/>
    <w:rsid w:val="00B53B0D"/>
    <w:rsid w:val="00B576F9"/>
    <w:rsid w:val="00B6454E"/>
    <w:rsid w:val="00B72AA1"/>
    <w:rsid w:val="00B749B3"/>
    <w:rsid w:val="00B7784C"/>
    <w:rsid w:val="00B80983"/>
    <w:rsid w:val="00B91249"/>
    <w:rsid w:val="00B97291"/>
    <w:rsid w:val="00BA2E18"/>
    <w:rsid w:val="00BA4068"/>
    <w:rsid w:val="00BA667D"/>
    <w:rsid w:val="00BC0FC2"/>
    <w:rsid w:val="00BC1323"/>
    <w:rsid w:val="00BD1F14"/>
    <w:rsid w:val="00BD63A3"/>
    <w:rsid w:val="00BE1B8B"/>
    <w:rsid w:val="00BF2A5F"/>
    <w:rsid w:val="00BF364C"/>
    <w:rsid w:val="00C2758E"/>
    <w:rsid w:val="00C43200"/>
    <w:rsid w:val="00C46E6C"/>
    <w:rsid w:val="00C474AF"/>
    <w:rsid w:val="00C50E26"/>
    <w:rsid w:val="00C51485"/>
    <w:rsid w:val="00C522C0"/>
    <w:rsid w:val="00C64552"/>
    <w:rsid w:val="00C81817"/>
    <w:rsid w:val="00C832C9"/>
    <w:rsid w:val="00C906E3"/>
    <w:rsid w:val="00C97FD3"/>
    <w:rsid w:val="00CA45BD"/>
    <w:rsid w:val="00CC02C1"/>
    <w:rsid w:val="00CC0CEF"/>
    <w:rsid w:val="00CC42CF"/>
    <w:rsid w:val="00CC4776"/>
    <w:rsid w:val="00CC5F85"/>
    <w:rsid w:val="00CD0D1B"/>
    <w:rsid w:val="00CE15CC"/>
    <w:rsid w:val="00CE3C46"/>
    <w:rsid w:val="00CE67B8"/>
    <w:rsid w:val="00CF27FF"/>
    <w:rsid w:val="00D0373D"/>
    <w:rsid w:val="00D06A03"/>
    <w:rsid w:val="00D100BB"/>
    <w:rsid w:val="00D15639"/>
    <w:rsid w:val="00D15DBC"/>
    <w:rsid w:val="00D17C06"/>
    <w:rsid w:val="00D25C67"/>
    <w:rsid w:val="00D329D5"/>
    <w:rsid w:val="00D33317"/>
    <w:rsid w:val="00D362C4"/>
    <w:rsid w:val="00D36855"/>
    <w:rsid w:val="00D50093"/>
    <w:rsid w:val="00D52382"/>
    <w:rsid w:val="00D5356F"/>
    <w:rsid w:val="00D53F2C"/>
    <w:rsid w:val="00D55B5B"/>
    <w:rsid w:val="00D55C6E"/>
    <w:rsid w:val="00D56CE3"/>
    <w:rsid w:val="00D57085"/>
    <w:rsid w:val="00D5775C"/>
    <w:rsid w:val="00D66A35"/>
    <w:rsid w:val="00D73441"/>
    <w:rsid w:val="00D800F8"/>
    <w:rsid w:val="00D83F6D"/>
    <w:rsid w:val="00D9003C"/>
    <w:rsid w:val="00D909E9"/>
    <w:rsid w:val="00D94E9E"/>
    <w:rsid w:val="00DA3BFF"/>
    <w:rsid w:val="00DA56A7"/>
    <w:rsid w:val="00DB1D4A"/>
    <w:rsid w:val="00DB434C"/>
    <w:rsid w:val="00DB583A"/>
    <w:rsid w:val="00DD1EF6"/>
    <w:rsid w:val="00DE14BC"/>
    <w:rsid w:val="00DE7C58"/>
    <w:rsid w:val="00DF3CDB"/>
    <w:rsid w:val="00DF4974"/>
    <w:rsid w:val="00DF560E"/>
    <w:rsid w:val="00DF7A9F"/>
    <w:rsid w:val="00E0612C"/>
    <w:rsid w:val="00E11242"/>
    <w:rsid w:val="00E12F55"/>
    <w:rsid w:val="00E15F54"/>
    <w:rsid w:val="00E162C9"/>
    <w:rsid w:val="00E172C7"/>
    <w:rsid w:val="00E17ADB"/>
    <w:rsid w:val="00E25DE3"/>
    <w:rsid w:val="00E703FD"/>
    <w:rsid w:val="00E724A6"/>
    <w:rsid w:val="00E72953"/>
    <w:rsid w:val="00E767D0"/>
    <w:rsid w:val="00E76A61"/>
    <w:rsid w:val="00E802CB"/>
    <w:rsid w:val="00E87CC4"/>
    <w:rsid w:val="00E92C34"/>
    <w:rsid w:val="00E94F77"/>
    <w:rsid w:val="00E97BCA"/>
    <w:rsid w:val="00EA46BD"/>
    <w:rsid w:val="00EB2670"/>
    <w:rsid w:val="00EB2D7B"/>
    <w:rsid w:val="00EC212D"/>
    <w:rsid w:val="00EC507D"/>
    <w:rsid w:val="00ED1907"/>
    <w:rsid w:val="00EE491F"/>
    <w:rsid w:val="00EF310C"/>
    <w:rsid w:val="00EF5352"/>
    <w:rsid w:val="00F011DE"/>
    <w:rsid w:val="00F13B58"/>
    <w:rsid w:val="00F149BE"/>
    <w:rsid w:val="00F179CC"/>
    <w:rsid w:val="00F17CFA"/>
    <w:rsid w:val="00F20917"/>
    <w:rsid w:val="00F2245A"/>
    <w:rsid w:val="00F26500"/>
    <w:rsid w:val="00F31444"/>
    <w:rsid w:val="00F35C6E"/>
    <w:rsid w:val="00F375B3"/>
    <w:rsid w:val="00F55812"/>
    <w:rsid w:val="00F55BC3"/>
    <w:rsid w:val="00F63A74"/>
    <w:rsid w:val="00F63EB7"/>
    <w:rsid w:val="00F8215D"/>
    <w:rsid w:val="00F85CF5"/>
    <w:rsid w:val="00F93EF8"/>
    <w:rsid w:val="00F9580C"/>
    <w:rsid w:val="00FA049F"/>
    <w:rsid w:val="00FA4AB3"/>
    <w:rsid w:val="00FB08DC"/>
    <w:rsid w:val="00FB3561"/>
    <w:rsid w:val="00FC2A1E"/>
    <w:rsid w:val="00FC3079"/>
    <w:rsid w:val="00FD2F86"/>
    <w:rsid w:val="00FD3F84"/>
    <w:rsid w:val="00FD7DFE"/>
    <w:rsid w:val="00FE0030"/>
    <w:rsid w:val="00FE43D4"/>
    <w:rsid w:val="00FE75AB"/>
    <w:rsid w:val="00FE77EB"/>
    <w:rsid w:val="00FF0D74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50E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B4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50E"/>
    <w:rPr>
      <w:rFonts w:ascii="Arial" w:eastAsia="Times New Roman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AB450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AB450E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9E4CB8"/>
  </w:style>
  <w:style w:type="character" w:customStyle="1" w:styleId="il">
    <w:name w:val="il"/>
    <w:basedOn w:val="Carpredefinitoparagrafo"/>
    <w:rsid w:val="009E4CB8"/>
  </w:style>
  <w:style w:type="paragraph" w:styleId="Intestazione">
    <w:name w:val="header"/>
    <w:basedOn w:val="Normale"/>
    <w:link w:val="IntestazioneCarattere"/>
    <w:uiPriority w:val="99"/>
    <w:unhideWhenUsed/>
    <w:rsid w:val="009D4D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DB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B1F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6455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Grigliatabella1">
    <w:name w:val="Griglia tabella1"/>
    <w:basedOn w:val="Tabellanormale"/>
    <w:next w:val="Grigliatabella"/>
    <w:uiPriority w:val="59"/>
    <w:rsid w:val="0053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D06A03"/>
    <w:pPr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D06A03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rsid w:val="00D06A03"/>
    <w:pPr>
      <w:spacing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CorpodeltestoCarattere">
    <w:name w:val="Corpo del testo Carattere"/>
    <w:basedOn w:val="Carpredefinitoparagrafo"/>
    <w:link w:val="Corpodeltesto1"/>
    <w:rsid w:val="00D06A0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745631</dc:creator>
  <cp:lastModifiedBy>745328</cp:lastModifiedBy>
  <cp:revision>4</cp:revision>
  <cp:lastPrinted>2023-01-04T11:16:00Z</cp:lastPrinted>
  <dcterms:created xsi:type="dcterms:W3CDTF">2023-01-04T11:12:00Z</dcterms:created>
  <dcterms:modified xsi:type="dcterms:W3CDTF">2023-01-04T11:18:00Z</dcterms:modified>
</cp:coreProperties>
</file>