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DE23" w14:textId="77777777" w:rsidR="00197580" w:rsidRDefault="00197580"/>
    <w:p w14:paraId="012ED722" w14:textId="77777777" w:rsidR="00197580" w:rsidRDefault="00000000">
      <w:pPr>
        <w:jc w:val="center"/>
        <w:rPr>
          <w:rFonts w:ascii="Nunito Sans" w:eastAsia="Nunito Sans" w:hAnsi="Nunito Sans" w:cs="Nunito Sans"/>
          <w:sz w:val="22"/>
          <w:szCs w:val="22"/>
        </w:rPr>
      </w:pPr>
      <w:r>
        <w:rPr>
          <w:rFonts w:ascii="Nunito Sans" w:eastAsia="Nunito Sans" w:hAnsi="Nunito Sans" w:cs="Nunito Sans"/>
          <w:sz w:val="22"/>
          <w:szCs w:val="22"/>
        </w:rPr>
        <w:t>Comunicato Stampa</w:t>
      </w:r>
    </w:p>
    <w:p w14:paraId="7CFFF4D6" w14:textId="77777777" w:rsidR="00197580" w:rsidRDefault="00197580">
      <w:pPr>
        <w:jc w:val="center"/>
        <w:rPr>
          <w:rFonts w:ascii="Nunito Sans" w:eastAsia="Nunito Sans" w:hAnsi="Nunito Sans" w:cs="Nunito Sans"/>
          <w:sz w:val="22"/>
          <w:szCs w:val="22"/>
        </w:rPr>
      </w:pPr>
    </w:p>
    <w:p w14:paraId="0260AC82" w14:textId="77777777" w:rsidR="00197580" w:rsidRDefault="00000000">
      <w:pPr>
        <w:jc w:val="center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Oltre 1 milione di piani di accumulo sulla piattaforma di investimento Scalable Capital</w:t>
      </w:r>
    </w:p>
    <w:p w14:paraId="51C6B27E" w14:textId="77777777" w:rsidR="00197580" w:rsidRDefault="00000000">
      <w:pPr>
        <w:jc w:val="center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 xml:space="preserve">Risparmiare in ETF e azioni ha sempre più successo </w:t>
      </w:r>
    </w:p>
    <w:p w14:paraId="4EBA7F9D" w14:textId="77777777" w:rsidR="00197580" w:rsidRDefault="00197580">
      <w:pPr>
        <w:rPr>
          <w:rFonts w:ascii="Nunito Sans" w:eastAsia="Nunito Sans" w:hAnsi="Nunito Sans" w:cs="Nunito Sans"/>
          <w:b/>
          <w:sz w:val="28"/>
          <w:szCs w:val="28"/>
        </w:rPr>
      </w:pPr>
    </w:p>
    <w:p w14:paraId="63BE93D5" w14:textId="77777777" w:rsidR="001975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/>
          <w:sz w:val="22"/>
          <w:szCs w:val="22"/>
        </w:rPr>
        <w:t xml:space="preserve">Mese dopo mese, raggiunti oltre 1 milione di piani di </w:t>
      </w:r>
      <w:r>
        <w:rPr>
          <w:rFonts w:ascii="Nunito Sans" w:eastAsia="Nunito Sans" w:hAnsi="Nunito Sans" w:cs="Nunito Sans"/>
          <w:sz w:val="22"/>
          <w:szCs w:val="22"/>
        </w:rPr>
        <w:t>accumulo automatizzati</w:t>
      </w:r>
      <w:r>
        <w:rPr>
          <w:rFonts w:ascii="Nunito Sans" w:eastAsia="Nunito Sans" w:hAnsi="Nunito Sans" w:cs="Nunito Sans"/>
          <w:color w:val="000000"/>
          <w:sz w:val="22"/>
          <w:szCs w:val="22"/>
        </w:rPr>
        <w:t xml:space="preserve"> sulla piattaforma di investimento Scalable Capital</w:t>
      </w:r>
    </w:p>
    <w:p w14:paraId="213A3E81" w14:textId="77777777" w:rsidR="001975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 Sans" w:eastAsia="Nunito Sans" w:hAnsi="Nunito Sans" w:cs="Nunito Sans"/>
          <w:sz w:val="22"/>
          <w:szCs w:val="22"/>
        </w:rPr>
      </w:pPr>
      <w:r>
        <w:rPr>
          <w:rFonts w:ascii="Nunito Sans" w:eastAsia="Nunito Sans" w:hAnsi="Nunito Sans" w:cs="Nunito Sans"/>
          <w:sz w:val="22"/>
          <w:szCs w:val="22"/>
        </w:rPr>
        <w:t>Nonostante il mercato azionario sia stato caratterizzato da forti turbolenze, nel 2022 sempre più persone hanno scelto il risparmio a lungo termine attraverso i piani di accumulo in ETF e azioni</w:t>
      </w:r>
    </w:p>
    <w:p w14:paraId="527C9276" w14:textId="77777777" w:rsidR="001975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/>
          <w:sz w:val="22"/>
          <w:szCs w:val="22"/>
        </w:rPr>
        <w:t xml:space="preserve">I piani di </w:t>
      </w:r>
      <w:r>
        <w:rPr>
          <w:rFonts w:ascii="Nunito Sans" w:eastAsia="Nunito Sans" w:hAnsi="Nunito Sans" w:cs="Nunito Sans"/>
          <w:sz w:val="22"/>
          <w:szCs w:val="22"/>
        </w:rPr>
        <w:t>accumulo automatizzati</w:t>
      </w:r>
      <w:r>
        <w:rPr>
          <w:rFonts w:ascii="Nunito Sans" w:eastAsia="Nunito Sans" w:hAnsi="Nunito Sans" w:cs="Nunito Sans"/>
          <w:color w:val="000000"/>
          <w:sz w:val="22"/>
          <w:szCs w:val="22"/>
        </w:rPr>
        <w:t>, esenti da commissioni su tutti gli ETF, le azioni e i fondi, consentono ai clienti di costruire una base per il proprio futur</w:t>
      </w:r>
      <w:r>
        <w:rPr>
          <w:rFonts w:ascii="Nunito Sans" w:eastAsia="Nunito Sans" w:hAnsi="Nunito Sans" w:cs="Nunito Sans"/>
          <w:sz w:val="22"/>
          <w:szCs w:val="22"/>
        </w:rPr>
        <w:t>o</w:t>
      </w:r>
      <w:r>
        <w:rPr>
          <w:rFonts w:ascii="Nunito Sans" w:eastAsia="Nunito Sans" w:hAnsi="Nunito Sans" w:cs="Nunito Sans"/>
          <w:color w:val="000000"/>
          <w:sz w:val="22"/>
          <w:szCs w:val="22"/>
        </w:rPr>
        <w:t xml:space="preserve">, anche a partire da piccoli importi </w:t>
      </w:r>
    </w:p>
    <w:p w14:paraId="100B8A2B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25C04A2C" w14:textId="1D60B031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b/>
          <w:i/>
          <w:sz w:val="21"/>
          <w:szCs w:val="21"/>
        </w:rPr>
        <w:t>Monaco di Baviera, 1</w:t>
      </w:r>
      <w:r w:rsidR="007560B9">
        <w:rPr>
          <w:rFonts w:ascii="Nunito Sans" w:eastAsia="Nunito Sans" w:hAnsi="Nunito Sans" w:cs="Nunito Sans"/>
          <w:b/>
          <w:i/>
          <w:sz w:val="21"/>
          <w:szCs w:val="21"/>
        </w:rPr>
        <w:t>2</w:t>
      </w:r>
      <w:r>
        <w:rPr>
          <w:rFonts w:ascii="Nunito Sans" w:eastAsia="Nunito Sans" w:hAnsi="Nunito Sans" w:cs="Nunito Sans"/>
          <w:b/>
          <w:i/>
          <w:sz w:val="21"/>
          <w:szCs w:val="21"/>
        </w:rPr>
        <w:t>.01.2023</w:t>
      </w:r>
      <w:r>
        <w:rPr>
          <w:rFonts w:ascii="Nunito Sans" w:eastAsia="Nunito Sans" w:hAnsi="Nunito Sans" w:cs="Nunito Sans"/>
          <w:sz w:val="21"/>
          <w:szCs w:val="21"/>
        </w:rPr>
        <w:t xml:space="preserve"> Scalable Capital, piattaforma di investimento leader in Europa, ha superato 1 milione di piani di accumulo impostati sulla piattaforma. Questi consentono ai clienti di accantonare una base finanziaria in favore dei loro progetti futuri, o semplicemente anche per integrare la loro pensione, a partire da un minimo di 1 euro. La massiccia richiesta di piani di accumulo evidenzia chiaramente che la previdenza a lungo termine attraverso i mercati dei capitali sta diventando sempre più popolare. </w:t>
      </w:r>
    </w:p>
    <w:p w14:paraId="5CEA3673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2037CA06" w14:textId="77777777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sz w:val="21"/>
          <w:szCs w:val="21"/>
        </w:rPr>
        <w:t xml:space="preserve">Anche in un momento di forte incertezza globale e di volatilità che ha caratterizzato il mercato azionario, un numero sempre maggiore di investitori ha deciso di adottare un piano di accumulo. Il 2022 è stato uno degli anni peggiori degli ultimi decenni per gli </w:t>
      </w:r>
      <w:proofErr w:type="gramStart"/>
      <w:r>
        <w:rPr>
          <w:rFonts w:ascii="Nunito Sans" w:eastAsia="Nunito Sans" w:hAnsi="Nunito Sans" w:cs="Nunito Sans"/>
          <w:sz w:val="21"/>
          <w:szCs w:val="21"/>
        </w:rPr>
        <w:t>investitori, tuttavia</w:t>
      </w:r>
      <w:proofErr w:type="gramEnd"/>
      <w:r>
        <w:rPr>
          <w:rFonts w:ascii="Nunito Sans" w:eastAsia="Nunito Sans" w:hAnsi="Nunito Sans" w:cs="Nunito Sans"/>
          <w:sz w:val="21"/>
          <w:szCs w:val="21"/>
        </w:rPr>
        <w:t xml:space="preserve"> i clienti hanno continuato a creare e incrementare i loro piani di accumulo sulla piattaforma di Scalable Capital, raggiungendo 1 milione di piani di accumulo. Tutti i cittadini europei stanno impostando nuovi piani di accumulo, dimostrando così un forte impegno a investire a lungo termine nei mercati dei capitali.</w:t>
      </w:r>
    </w:p>
    <w:p w14:paraId="174DFF68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264BE73D" w14:textId="77777777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sz w:val="21"/>
          <w:szCs w:val="21"/>
        </w:rPr>
        <w:t>"</w:t>
      </w:r>
      <w:r>
        <w:rPr>
          <w:rFonts w:ascii="Nunito Sans" w:eastAsia="Nunito Sans" w:hAnsi="Nunito Sans" w:cs="Nunito Sans"/>
          <w:i/>
          <w:sz w:val="21"/>
          <w:szCs w:val="21"/>
        </w:rPr>
        <w:t xml:space="preserve">Per quanto riguarda la pianificazione della pensione e gli annessi, spesso lunghi, periodi di investimento, ha senso investire parte del proprio patrimonio in ETF e azioni. Tuttavia, la previdenza privata e gli investimenti continueranno a essere essenziali non solo per colmare il </w:t>
      </w:r>
      <w:proofErr w:type="gramStart"/>
      <w:r>
        <w:rPr>
          <w:rFonts w:ascii="Nunito Sans" w:eastAsia="Nunito Sans" w:hAnsi="Nunito Sans" w:cs="Nunito Sans"/>
          <w:i/>
          <w:sz w:val="21"/>
          <w:szCs w:val="21"/>
        </w:rPr>
        <w:t>gap</w:t>
      </w:r>
      <w:proofErr w:type="gramEnd"/>
      <w:r>
        <w:rPr>
          <w:rFonts w:ascii="Nunito Sans" w:eastAsia="Nunito Sans" w:hAnsi="Nunito Sans" w:cs="Nunito Sans"/>
          <w:i/>
          <w:sz w:val="21"/>
          <w:szCs w:val="21"/>
        </w:rPr>
        <w:t xml:space="preserve"> pensionistico, ma anche per garantire una maggiore solidità economica degli italiani alla luce di un futuro incerto</w:t>
      </w:r>
      <w:r>
        <w:rPr>
          <w:rFonts w:ascii="Nunito Sans" w:eastAsia="Nunito Sans" w:hAnsi="Nunito Sans" w:cs="Nunito Sans"/>
          <w:sz w:val="21"/>
          <w:szCs w:val="21"/>
        </w:rPr>
        <w:t xml:space="preserve">". Afferma </w:t>
      </w:r>
      <w:r>
        <w:rPr>
          <w:rFonts w:ascii="Nunito Sans" w:eastAsia="Nunito Sans" w:hAnsi="Nunito Sans" w:cs="Nunito Sans"/>
          <w:b/>
          <w:sz w:val="21"/>
          <w:szCs w:val="21"/>
        </w:rPr>
        <w:t>Erik Podzuweit</w:t>
      </w:r>
      <w:r>
        <w:rPr>
          <w:rFonts w:ascii="Nunito Sans" w:eastAsia="Nunito Sans" w:hAnsi="Nunito Sans" w:cs="Nunito Sans"/>
          <w:sz w:val="21"/>
          <w:szCs w:val="21"/>
        </w:rPr>
        <w:t xml:space="preserve">, </w:t>
      </w:r>
      <w:r>
        <w:rPr>
          <w:rFonts w:ascii="Nunito Sans" w:eastAsia="Nunito Sans" w:hAnsi="Nunito Sans" w:cs="Nunito Sans"/>
          <w:b/>
          <w:sz w:val="21"/>
          <w:szCs w:val="21"/>
        </w:rPr>
        <w:t>co-fondatore e co-CEO di Scalable Capital</w:t>
      </w:r>
      <w:r>
        <w:rPr>
          <w:rFonts w:ascii="Nunito Sans" w:eastAsia="Nunito Sans" w:hAnsi="Nunito Sans" w:cs="Nunito Sans"/>
          <w:sz w:val="21"/>
          <w:szCs w:val="21"/>
        </w:rPr>
        <w:t xml:space="preserve">. </w:t>
      </w:r>
    </w:p>
    <w:p w14:paraId="48F2DA50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27AE1006" w14:textId="77777777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sz w:val="21"/>
          <w:szCs w:val="21"/>
        </w:rPr>
        <w:t>"</w:t>
      </w:r>
      <w:r>
        <w:rPr>
          <w:rFonts w:ascii="Nunito Sans" w:eastAsia="Nunito Sans" w:hAnsi="Nunito Sans" w:cs="Nunito Sans"/>
          <w:i/>
          <w:sz w:val="21"/>
          <w:szCs w:val="21"/>
        </w:rPr>
        <w:t xml:space="preserve">Investire è il nuovo “risparmiare”. In un contesto di tassi di inflazione in crescita e di divario pensionistico sempre più ampio, offerte d'investimento semplici e convenienti sono fondamentali. Sia l'accesso facilitato agli investimenti sul mercato dei capitali sia le commissioni basse e trasparenti hanno stimolato in modo significativo la domanda di piani di </w:t>
      </w:r>
      <w:r>
        <w:rPr>
          <w:rFonts w:ascii="Nunito Sans" w:eastAsia="Nunito Sans" w:hAnsi="Nunito Sans" w:cs="Nunito Sans"/>
          <w:sz w:val="21"/>
          <w:szCs w:val="21"/>
        </w:rPr>
        <w:t>accumulo</w:t>
      </w:r>
      <w:r>
        <w:rPr>
          <w:rFonts w:ascii="Nunito Sans" w:eastAsia="Nunito Sans" w:hAnsi="Nunito Sans" w:cs="Nunito Sans"/>
          <w:i/>
          <w:sz w:val="21"/>
          <w:szCs w:val="21"/>
        </w:rPr>
        <w:t xml:space="preserve"> in ETF nel nostro Paese”. </w:t>
      </w:r>
      <w:r>
        <w:rPr>
          <w:rFonts w:ascii="Nunito Sans" w:eastAsia="Nunito Sans" w:hAnsi="Nunito Sans" w:cs="Nunito Sans"/>
          <w:sz w:val="21"/>
          <w:szCs w:val="21"/>
        </w:rPr>
        <w:t>Aggiunge</w:t>
      </w:r>
      <w:r>
        <w:rPr>
          <w:rFonts w:ascii="Nunito Sans" w:eastAsia="Nunito Sans" w:hAnsi="Nunito Sans" w:cs="Nunito Sans"/>
          <w:i/>
          <w:sz w:val="21"/>
          <w:szCs w:val="21"/>
        </w:rPr>
        <w:t xml:space="preserve"> </w:t>
      </w:r>
      <w:r>
        <w:rPr>
          <w:rFonts w:ascii="Nunito Sans" w:eastAsia="Nunito Sans" w:hAnsi="Nunito Sans" w:cs="Nunito Sans"/>
          <w:b/>
          <w:sz w:val="21"/>
          <w:szCs w:val="21"/>
        </w:rPr>
        <w:t xml:space="preserve">Alessandro Saldutti, Country Manager Italia di Scalable Capital </w:t>
      </w:r>
      <w:r>
        <w:rPr>
          <w:rFonts w:ascii="Nunito Sans" w:eastAsia="Nunito Sans" w:hAnsi="Nunito Sans" w:cs="Nunito Sans"/>
          <w:sz w:val="21"/>
          <w:szCs w:val="21"/>
        </w:rPr>
        <w:t xml:space="preserve">che poi conclude: </w:t>
      </w:r>
      <w:r>
        <w:rPr>
          <w:rFonts w:ascii="Nunito Sans" w:eastAsia="Nunito Sans" w:hAnsi="Nunito Sans" w:cs="Nunito Sans"/>
          <w:b/>
          <w:i/>
          <w:sz w:val="21"/>
          <w:szCs w:val="21"/>
        </w:rPr>
        <w:t>“</w:t>
      </w:r>
      <w:r>
        <w:rPr>
          <w:rFonts w:ascii="Nunito Sans" w:eastAsia="Nunito Sans" w:hAnsi="Nunito Sans" w:cs="Nunito Sans"/>
          <w:i/>
          <w:sz w:val="21"/>
          <w:szCs w:val="21"/>
        </w:rPr>
        <w:t>Un'educazione finanziaria consapevole combinata con un risparmio facilmente accessibile e conveniente sui mercati, rappresenta una chiave di volta per permettere agli italiani di prendere in mano il proprio futuro finanziario.”</w:t>
      </w:r>
    </w:p>
    <w:p w14:paraId="5BA96B4D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0D8660DC" w14:textId="77777777" w:rsidR="00197580" w:rsidRDefault="00197580">
      <w:pPr>
        <w:jc w:val="both"/>
        <w:rPr>
          <w:rFonts w:ascii="Nunito Sans" w:eastAsia="Nunito Sans" w:hAnsi="Nunito Sans" w:cs="Nunito Sans"/>
          <w:b/>
          <w:sz w:val="21"/>
          <w:szCs w:val="21"/>
        </w:rPr>
      </w:pPr>
    </w:p>
    <w:p w14:paraId="773EA35F" w14:textId="77777777" w:rsidR="00197580" w:rsidRDefault="00197580">
      <w:pPr>
        <w:jc w:val="both"/>
        <w:rPr>
          <w:rFonts w:ascii="Nunito Sans" w:eastAsia="Nunito Sans" w:hAnsi="Nunito Sans" w:cs="Nunito Sans"/>
          <w:b/>
          <w:sz w:val="21"/>
          <w:szCs w:val="21"/>
        </w:rPr>
      </w:pPr>
    </w:p>
    <w:p w14:paraId="390E7058" w14:textId="77777777" w:rsidR="00197580" w:rsidRDefault="00000000">
      <w:pPr>
        <w:jc w:val="both"/>
        <w:rPr>
          <w:rFonts w:ascii="Nunito Sans" w:eastAsia="Nunito Sans" w:hAnsi="Nunito Sans" w:cs="Nunito Sans"/>
          <w:b/>
          <w:sz w:val="21"/>
          <w:szCs w:val="21"/>
        </w:rPr>
      </w:pPr>
      <w:r>
        <w:rPr>
          <w:rFonts w:ascii="Nunito Sans" w:eastAsia="Nunito Sans" w:hAnsi="Nunito Sans" w:cs="Nunito Sans"/>
          <w:b/>
          <w:sz w:val="21"/>
          <w:szCs w:val="21"/>
        </w:rPr>
        <w:t>Investimenti più interessanti grazie a piani di accumulo senza commissioni e a partire da piccoli importi</w:t>
      </w:r>
    </w:p>
    <w:p w14:paraId="79F8AB1E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53C9A538" w14:textId="77777777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sz w:val="21"/>
          <w:szCs w:val="21"/>
        </w:rPr>
        <w:t>Secondo una recente analisi del comportamento dei clienti di Scalable Capital su base europea, l'offerta di piani di risparmio viene utilizzata attivamente, consentendo a un cliente su due di Scalable Broker di risparmiare regolarmente. In media, gli investitori hanno tre piani di accumulo e investono nei propri piani circa 470 euro al mese. Oltre il 90% è investito in ETF e poco meno del 10% in singole azioni. Il gruppo più numeroso di investitori ha un'età compresa tra i 26 e i 35 anni (circa il 43%) seguito dalla fascia d'età tra i 36 e i 45 anni. L'investimento più popolare tra i risparmiatori sono gli ETF che seguono un ampio indice, come l'MSCI World.</w:t>
      </w:r>
    </w:p>
    <w:p w14:paraId="79D430FA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5C67ECA4" w14:textId="77777777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sz w:val="21"/>
          <w:szCs w:val="21"/>
        </w:rPr>
        <w:t xml:space="preserve">La piattaforma offre ai clienti un universo di investimenti composto da oltre 7.500 azioni di tutti i principali indici a livello globale, più di 1.700 ETF di oltre 30 emittenti disponibili e un'ampia selezione di fondi a gestione attiva senza costi iniziali di negoziazione e investimento. </w:t>
      </w:r>
    </w:p>
    <w:p w14:paraId="19EE394E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63192420" w14:textId="77777777" w:rsidR="00197580" w:rsidRDefault="00000000">
      <w:pPr>
        <w:jc w:val="both"/>
        <w:rPr>
          <w:rFonts w:ascii="Nunito Sans" w:eastAsia="Nunito Sans" w:hAnsi="Nunito Sans" w:cs="Nunito Sans"/>
          <w:sz w:val="21"/>
          <w:szCs w:val="21"/>
        </w:rPr>
      </w:pPr>
      <w:r>
        <w:rPr>
          <w:rFonts w:ascii="Nunito Sans" w:eastAsia="Nunito Sans" w:hAnsi="Nunito Sans" w:cs="Nunito Sans"/>
          <w:sz w:val="21"/>
          <w:szCs w:val="21"/>
        </w:rPr>
        <w:t xml:space="preserve">Investire attraverso piani di accumulo è soprattutto flessibile. Grazie alla scelta tra nove date di esecuzione al mese, i clienti possono impostare l'addebito in base al giorno in cui ricevono lo stipendio, in modo da mettere subito a lavoro i propri risparmi e non rischiare di sperperarli in acquisti non necessari. L'investitore ha il pieno controllo e può sospendere o modificare i piani di accumulo in qualsiasi momento e ogni volta che lo desidera, senza costi aggiuntivi. </w:t>
      </w:r>
    </w:p>
    <w:p w14:paraId="568BC1B5" w14:textId="77777777" w:rsidR="00197580" w:rsidRDefault="00197580">
      <w:pPr>
        <w:jc w:val="both"/>
        <w:rPr>
          <w:rFonts w:ascii="Nunito Sans" w:eastAsia="Nunito Sans" w:hAnsi="Nunito Sans" w:cs="Nunito Sans"/>
          <w:sz w:val="21"/>
          <w:szCs w:val="21"/>
        </w:rPr>
      </w:pPr>
    </w:p>
    <w:p w14:paraId="4A930DAD" w14:textId="77777777" w:rsidR="00197580" w:rsidRDefault="00000000">
      <w:pPr>
        <w:jc w:val="both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About Scalable Capital</w:t>
      </w:r>
    </w:p>
    <w:p w14:paraId="06808649" w14:textId="77777777" w:rsidR="00197580" w:rsidRDefault="00000000">
      <w:pPr>
        <w:spacing w:before="180"/>
        <w:jc w:val="both"/>
        <w:rPr>
          <w:rFonts w:ascii="Roboto Light" w:eastAsia="Roboto Light" w:hAnsi="Roboto Light" w:cs="Roboto Light"/>
          <w:sz w:val="17"/>
          <w:szCs w:val="17"/>
        </w:rPr>
      </w:pPr>
      <w:r>
        <w:rPr>
          <w:rFonts w:ascii="Roboto Light" w:eastAsia="Roboto Light" w:hAnsi="Roboto Light" w:cs="Roboto Light"/>
          <w:sz w:val="17"/>
          <w:szCs w:val="17"/>
        </w:rPr>
        <w:t>Scalable Capital è la piattaforma di investimento digitale leader in Europa. Unisce persone e investimenti con l'obiettivo di democratizzare l’accesso alla finanza. I clienti possono usare Scalable Broker e, dalla seconda metà dell’anno, Scalable Wealth. Con Scalable Broker ogni investitore può prendere in mano il controllo delle proprie finanze e scegliere di investire in Azioni, ETF, Fondi, Crypto, mentre con Scalable Wealth, la Gestione Patrimoniale digitale, può accedere ad investimenti basati su ETF gestiti professionalmente e a basso costo. Oltre 600.000 clienti utilizzano già questi servizi.</w:t>
      </w:r>
    </w:p>
    <w:p w14:paraId="0BAC493B" w14:textId="77777777" w:rsidR="00197580" w:rsidRDefault="00000000">
      <w:pPr>
        <w:spacing w:before="180"/>
        <w:jc w:val="both"/>
        <w:rPr>
          <w:rFonts w:ascii="Roboto" w:eastAsia="Roboto" w:hAnsi="Roboto" w:cs="Roboto"/>
          <w:color w:val="172B4D"/>
          <w:sz w:val="17"/>
          <w:szCs w:val="17"/>
        </w:rPr>
      </w:pPr>
      <w:r>
        <w:rPr>
          <w:rFonts w:ascii="Roboto Light" w:eastAsia="Roboto Light" w:hAnsi="Roboto Light" w:cs="Roboto Light"/>
          <w:sz w:val="17"/>
          <w:szCs w:val="17"/>
        </w:rPr>
        <w:t xml:space="preserve">Scalable Capital è stata fondata nel 2014 ed è già attiva in Germania, Italia, Regno Unito, Francia, Italia, Spagna, Olanda e Austria. La società di investimento, che è supervisionata dalla BaFin e dalla Bundesbank, ha più di </w:t>
      </w:r>
      <w:proofErr w:type="gramStart"/>
      <w:r>
        <w:rPr>
          <w:rFonts w:ascii="Roboto Light" w:eastAsia="Roboto Light" w:hAnsi="Roboto Light" w:cs="Roboto Light"/>
          <w:sz w:val="17"/>
          <w:szCs w:val="17"/>
        </w:rPr>
        <w:t>10</w:t>
      </w:r>
      <w:proofErr w:type="gramEnd"/>
      <w:r>
        <w:rPr>
          <w:rFonts w:ascii="Roboto Light" w:eastAsia="Roboto Light" w:hAnsi="Roboto Light" w:cs="Roboto Light"/>
          <w:sz w:val="17"/>
          <w:szCs w:val="17"/>
        </w:rPr>
        <w:t xml:space="preserve"> miliardi di euro sulla sua piattaforma. Oltre alla sua attività per i clienti privati, la società sviluppa soluzioni B2B. I suoi partner di lunga data includono ING, Barclays Bank nel Regno Unito, il robo-advisor Oskar e il gruppo Santander in Spagna. Più di 400 dipendenti degli uffici di Monaco, Berlino e Londra lavorano insieme ai fondatori Erik Podzuweit e Florian Prucker per permettere a chiunque di diventare investitore.</w:t>
      </w:r>
    </w:p>
    <w:p w14:paraId="6B822470" w14:textId="77777777" w:rsidR="00197580" w:rsidRDefault="00197580">
      <w:pPr>
        <w:shd w:val="clear" w:color="auto" w:fill="FFFFFF"/>
        <w:spacing w:after="120"/>
        <w:rPr>
          <w:rFonts w:ascii="Roboto" w:eastAsia="Roboto" w:hAnsi="Roboto" w:cs="Roboto"/>
          <w:b/>
          <w:color w:val="101112"/>
          <w:sz w:val="18"/>
          <w:szCs w:val="18"/>
        </w:rPr>
      </w:pPr>
    </w:p>
    <w:p w14:paraId="7ABCCBE1" w14:textId="77777777" w:rsidR="00197580" w:rsidRDefault="00000000">
      <w:pPr>
        <w:shd w:val="clear" w:color="auto" w:fill="FFFFFF"/>
        <w:spacing w:after="120"/>
        <w:rPr>
          <w:rFonts w:ascii="Roboto" w:eastAsia="Roboto" w:hAnsi="Roboto" w:cs="Roboto"/>
          <w:b/>
          <w:color w:val="1155CC"/>
          <w:sz w:val="17"/>
          <w:szCs w:val="17"/>
          <w:u w:val="single"/>
        </w:rPr>
      </w:pPr>
      <w:r>
        <w:rPr>
          <w:rFonts w:ascii="Roboto" w:eastAsia="Roboto" w:hAnsi="Roboto" w:cs="Roboto"/>
          <w:b/>
          <w:color w:val="101112"/>
          <w:sz w:val="17"/>
          <w:szCs w:val="17"/>
        </w:rPr>
        <w:t xml:space="preserve">Per maggiori informazioni visitate </w:t>
      </w:r>
      <w:hyperlink r:id="rId8">
        <w:r>
          <w:rPr>
            <w:rFonts w:ascii="Roboto" w:eastAsia="Roboto" w:hAnsi="Roboto" w:cs="Roboto"/>
            <w:b/>
            <w:color w:val="1155CC"/>
            <w:sz w:val="17"/>
            <w:szCs w:val="17"/>
            <w:u w:val="single"/>
          </w:rPr>
          <w:t>https://it.scalable.capital/newsroom</w:t>
        </w:r>
      </w:hyperlink>
    </w:p>
    <w:p w14:paraId="37E665DC" w14:textId="77777777" w:rsidR="00197580" w:rsidRPr="007560B9" w:rsidRDefault="00000000">
      <w:pPr>
        <w:shd w:val="clear" w:color="auto" w:fill="FFFFFF"/>
        <w:spacing w:after="120"/>
        <w:rPr>
          <w:rFonts w:ascii="Roboto" w:eastAsia="Roboto" w:hAnsi="Roboto" w:cs="Roboto"/>
          <w:b/>
          <w:color w:val="1155CC"/>
          <w:sz w:val="17"/>
          <w:szCs w:val="17"/>
          <w:u w:val="single"/>
          <w:lang w:val="en-US"/>
        </w:rPr>
      </w:pPr>
      <w:r w:rsidRPr="007560B9">
        <w:rPr>
          <w:rFonts w:ascii="Roboto" w:eastAsia="Roboto" w:hAnsi="Roboto" w:cs="Roboto"/>
          <w:sz w:val="17"/>
          <w:szCs w:val="17"/>
          <w:lang w:val="en-US"/>
        </w:rPr>
        <w:t xml:space="preserve">A fact sheet, photos or past press releases are available for you in Scalable Capital's </w:t>
      </w:r>
      <w:hyperlink r:id="rId9">
        <w:r w:rsidRPr="007560B9">
          <w:rPr>
            <w:rFonts w:ascii="Roboto" w:eastAsia="Roboto" w:hAnsi="Roboto" w:cs="Roboto"/>
            <w:color w:val="0563C1"/>
            <w:sz w:val="17"/>
            <w:szCs w:val="17"/>
            <w:u w:val="single"/>
            <w:lang w:val="en-US"/>
          </w:rPr>
          <w:t>newsroom</w:t>
        </w:r>
      </w:hyperlink>
    </w:p>
    <w:p w14:paraId="1CDE6AC9" w14:textId="77777777" w:rsidR="00197580" w:rsidRPr="007560B9" w:rsidRDefault="00197580">
      <w:pPr>
        <w:shd w:val="clear" w:color="auto" w:fill="FFFFFF"/>
        <w:spacing w:after="120"/>
        <w:rPr>
          <w:rFonts w:ascii="Roboto" w:eastAsia="Roboto" w:hAnsi="Roboto" w:cs="Roboto"/>
          <w:b/>
          <w:color w:val="1155CC"/>
          <w:sz w:val="17"/>
          <w:szCs w:val="17"/>
          <w:u w:val="single"/>
          <w:lang w:val="en-US"/>
        </w:rPr>
      </w:pPr>
    </w:p>
    <w:p w14:paraId="1BB36DE6" w14:textId="77777777" w:rsidR="00197580" w:rsidRPr="007560B9" w:rsidRDefault="00000000">
      <w:pPr>
        <w:rPr>
          <w:rFonts w:ascii="Roboto" w:eastAsia="Roboto" w:hAnsi="Roboto" w:cs="Roboto"/>
          <w:b/>
          <w:sz w:val="17"/>
          <w:szCs w:val="17"/>
          <w:lang w:val="en-US"/>
        </w:rPr>
      </w:pPr>
      <w:r w:rsidRPr="007560B9">
        <w:rPr>
          <w:rFonts w:ascii="Roboto" w:eastAsia="Roboto" w:hAnsi="Roboto" w:cs="Roboto"/>
          <w:b/>
          <w:sz w:val="17"/>
          <w:szCs w:val="17"/>
          <w:lang w:val="en-US"/>
        </w:rPr>
        <w:t>Contatti</w:t>
      </w:r>
    </w:p>
    <w:p w14:paraId="4D8BD1F7" w14:textId="77777777" w:rsidR="00197580" w:rsidRPr="007560B9" w:rsidRDefault="00000000">
      <w:pPr>
        <w:spacing w:after="240"/>
        <w:rPr>
          <w:rFonts w:ascii="Roboto" w:eastAsia="Roboto" w:hAnsi="Roboto" w:cs="Roboto"/>
          <w:sz w:val="17"/>
          <w:szCs w:val="17"/>
          <w:lang w:val="en-US"/>
        </w:rPr>
      </w:pPr>
      <w:r w:rsidRPr="007560B9">
        <w:rPr>
          <w:rFonts w:ascii="Roboto" w:eastAsia="Roboto" w:hAnsi="Roboto" w:cs="Roboto"/>
          <w:sz w:val="17"/>
          <w:szCs w:val="17"/>
          <w:lang w:val="en-US"/>
        </w:rPr>
        <w:t>Team Lewis Italy</w:t>
      </w:r>
      <w:r w:rsidRPr="007560B9">
        <w:rPr>
          <w:rFonts w:ascii="Roboto" w:eastAsia="Roboto" w:hAnsi="Roboto" w:cs="Roboto"/>
          <w:sz w:val="17"/>
          <w:szCs w:val="17"/>
          <w:lang w:val="en-US"/>
        </w:rPr>
        <w:br/>
      </w:r>
      <w:hyperlink r:id="rId10">
        <w:r w:rsidRPr="007560B9">
          <w:rPr>
            <w:rFonts w:ascii="Roboto" w:eastAsia="Roboto" w:hAnsi="Roboto" w:cs="Roboto"/>
            <w:sz w:val="17"/>
            <w:szCs w:val="17"/>
            <w:lang w:val="en-US"/>
          </w:rPr>
          <w:t>ScalableITA@teamlewis.co</w:t>
        </w:r>
      </w:hyperlink>
      <w:r w:rsidRPr="007560B9">
        <w:rPr>
          <w:rFonts w:ascii="Roboto" w:eastAsia="Roboto" w:hAnsi="Roboto" w:cs="Roboto"/>
          <w:sz w:val="17"/>
          <w:szCs w:val="17"/>
          <w:lang w:val="en-US"/>
        </w:rPr>
        <w:t>m  </w:t>
      </w:r>
    </w:p>
    <w:p w14:paraId="0802E087" w14:textId="77777777" w:rsidR="00197580" w:rsidRPr="007560B9" w:rsidRDefault="00000000">
      <w:pPr>
        <w:spacing w:after="240"/>
        <w:rPr>
          <w:rFonts w:ascii="Nunito Sans" w:eastAsia="Nunito Sans" w:hAnsi="Nunito Sans" w:cs="Nunito Sans"/>
          <w:sz w:val="22"/>
          <w:szCs w:val="22"/>
          <w:lang w:val="en-US"/>
        </w:rPr>
      </w:pPr>
      <w:r w:rsidRPr="007560B9">
        <w:rPr>
          <w:rFonts w:ascii="Roboto" w:eastAsia="Roboto" w:hAnsi="Roboto" w:cs="Roboto"/>
          <w:sz w:val="17"/>
          <w:szCs w:val="17"/>
          <w:lang w:val="en-US"/>
        </w:rPr>
        <w:t>Ina Froehner</w:t>
      </w:r>
      <w:r w:rsidRPr="007560B9">
        <w:rPr>
          <w:rFonts w:ascii="Roboto" w:eastAsia="Roboto" w:hAnsi="Roboto" w:cs="Roboto"/>
          <w:sz w:val="17"/>
          <w:szCs w:val="17"/>
          <w:lang w:val="en-US"/>
        </w:rPr>
        <w:br/>
        <w:t>Scalable Capital</w:t>
      </w:r>
      <w:r w:rsidRPr="007560B9">
        <w:rPr>
          <w:rFonts w:ascii="Roboto" w:eastAsia="Roboto" w:hAnsi="Roboto" w:cs="Roboto"/>
          <w:sz w:val="17"/>
          <w:szCs w:val="17"/>
          <w:lang w:val="en-US"/>
        </w:rPr>
        <w:br/>
      </w:r>
      <w:r w:rsidRPr="007560B9">
        <w:rPr>
          <w:rFonts w:ascii="Roboto Light" w:eastAsia="Roboto Light" w:hAnsi="Roboto Light" w:cs="Roboto Light"/>
          <w:sz w:val="17"/>
          <w:szCs w:val="17"/>
          <w:lang w:val="en-US"/>
        </w:rPr>
        <w:t>Head of Communications</w:t>
      </w:r>
      <w:r w:rsidRPr="007560B9">
        <w:rPr>
          <w:rFonts w:ascii="Roboto Light" w:eastAsia="Roboto Light" w:hAnsi="Roboto Light" w:cs="Roboto Light"/>
          <w:sz w:val="17"/>
          <w:szCs w:val="17"/>
          <w:lang w:val="en-US"/>
        </w:rPr>
        <w:br/>
        <w:t>press@scalable.capital</w:t>
      </w:r>
      <w:r w:rsidRPr="007560B9">
        <w:rPr>
          <w:rFonts w:ascii="Roboto Light" w:eastAsia="Roboto Light" w:hAnsi="Roboto Light" w:cs="Roboto Light"/>
          <w:sz w:val="17"/>
          <w:szCs w:val="17"/>
          <w:lang w:val="en-US"/>
        </w:rPr>
        <w:br/>
        <w:t>+49.160.94.43.59.32</w:t>
      </w:r>
    </w:p>
    <w:sectPr w:rsidR="00197580" w:rsidRPr="007560B9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18F5" w14:textId="77777777" w:rsidR="007911E2" w:rsidRDefault="007911E2">
      <w:r>
        <w:separator/>
      </w:r>
    </w:p>
  </w:endnote>
  <w:endnote w:type="continuationSeparator" w:id="0">
    <w:p w14:paraId="2F647E7B" w14:textId="77777777" w:rsidR="007911E2" w:rsidRDefault="0079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A33" w14:textId="77777777" w:rsidR="007911E2" w:rsidRDefault="007911E2">
      <w:r>
        <w:separator/>
      </w:r>
    </w:p>
  </w:footnote>
  <w:footnote w:type="continuationSeparator" w:id="0">
    <w:p w14:paraId="6D2B24E1" w14:textId="77777777" w:rsidR="007911E2" w:rsidRDefault="0079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75B8" w14:textId="77777777" w:rsidR="001975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4E3A34" wp14:editId="311B8BDF">
          <wp:simplePos x="0" y="0"/>
          <wp:positionH relativeFrom="column">
            <wp:posOffset>2167588</wp:posOffset>
          </wp:positionH>
          <wp:positionV relativeFrom="paragraph">
            <wp:posOffset>-304642</wp:posOffset>
          </wp:positionV>
          <wp:extent cx="2047875" cy="638175"/>
          <wp:effectExtent l="0" t="0" r="0" b="0"/>
          <wp:wrapSquare wrapText="bothSides" distT="0" distB="0" distL="114300" distR="114300"/>
          <wp:docPr id="7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2204" t="16125" r="2204" b="24144"/>
                  <a:stretch>
                    <a:fillRect/>
                  </a:stretch>
                </pic:blipFill>
                <pic:spPr>
                  <a:xfrm>
                    <a:off x="0" y="0"/>
                    <a:ext cx="20478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39D6"/>
    <w:multiLevelType w:val="multilevel"/>
    <w:tmpl w:val="F6723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577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80"/>
    <w:rsid w:val="00197580"/>
    <w:rsid w:val="007560B9"/>
    <w:rsid w:val="007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F86BD"/>
  <w15:docId w15:val="{4A6F54FE-5143-184B-BDCC-D8588DC8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97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BE6"/>
  </w:style>
  <w:style w:type="paragraph" w:styleId="Pidipagina">
    <w:name w:val="footer"/>
    <w:basedOn w:val="Normale"/>
    <w:link w:val="PidipaginaCarattere"/>
    <w:uiPriority w:val="99"/>
    <w:unhideWhenUsed/>
    <w:rsid w:val="00497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BE6"/>
  </w:style>
  <w:style w:type="paragraph" w:styleId="Paragrafoelenco">
    <w:name w:val="List Paragraph"/>
    <w:basedOn w:val="Normale"/>
    <w:uiPriority w:val="34"/>
    <w:qFormat/>
    <w:rsid w:val="00497B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04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49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62D53"/>
  </w:style>
  <w:style w:type="character" w:styleId="Rimandocommento">
    <w:name w:val="annotation reference"/>
    <w:basedOn w:val="Carpredefinitoparagrafo"/>
    <w:uiPriority w:val="99"/>
    <w:semiHidden/>
    <w:unhideWhenUsed/>
    <w:rsid w:val="00E62D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2D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2D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2D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2D53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calable.capital/newsro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alableITA@teamlew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scalable.capital/new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MBcIbUNp1xqyIVlWzVES48E4A==">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Loviglio</dc:creator>
  <cp:lastModifiedBy>Nicolo Marcon</cp:lastModifiedBy>
  <cp:revision>2</cp:revision>
  <dcterms:created xsi:type="dcterms:W3CDTF">2023-01-03T11:16:00Z</dcterms:created>
  <dcterms:modified xsi:type="dcterms:W3CDTF">2023-01-12T09:13:00Z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0x0101009CC46953CDD1C24C81070B9B80873743</vt:lpwstr>
  </property>
</Properties>
</file>