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5F3" w14:textId="712F46DE" w:rsidR="004D60EA" w:rsidRPr="00153EE6" w:rsidRDefault="00153EE6" w:rsidP="00153E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Hlk83111918"/>
      <w:r w:rsidRPr="00153EE6">
        <w:rPr>
          <w:rFonts w:ascii="Arial" w:hAnsi="Arial" w:cs="Arial"/>
          <w:b/>
          <w:sz w:val="36"/>
          <w:szCs w:val="36"/>
        </w:rPr>
        <w:t>FLASH BCE: Lagarde dura sul sentiero di rialzo tassi mentre negli Usa rallentano i consumi</w:t>
      </w:r>
    </w:p>
    <w:p w14:paraId="3C52792D" w14:textId="77777777" w:rsidR="00F62CB6" w:rsidRPr="00153EE6" w:rsidRDefault="00F62CB6" w:rsidP="00153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99F044" w14:textId="2E4F0A9C" w:rsidR="00A76468" w:rsidRPr="00153EE6" w:rsidRDefault="00A76468" w:rsidP="00153EE6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153EE6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p w14:paraId="6DC44B62" w14:textId="72CF4EE1" w:rsidR="004B0D1B" w:rsidRPr="00153EE6" w:rsidRDefault="004B0D1B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3DA05C98" w14:textId="468F3F2F" w:rsidR="00153EE6" w:rsidRPr="00153EE6" w:rsidRDefault="00153EE6" w:rsidP="00153EE6">
      <w:pPr>
        <w:pStyle w:val="NormaleWeb"/>
        <w:jc w:val="both"/>
        <w:rPr>
          <w:rFonts w:ascii="Arial" w:hAnsi="Arial" w:cs="Arial"/>
          <w:color w:val="000000"/>
        </w:rPr>
      </w:pPr>
      <w:r w:rsidRPr="00153EE6">
        <w:rPr>
          <w:rFonts w:ascii="Arial" w:hAnsi="Arial" w:cs="Arial"/>
          <w:color w:val="000000"/>
        </w:rPr>
        <w:t>La BCE ha oggi optato per</w:t>
      </w:r>
      <w:r>
        <w:rPr>
          <w:rFonts w:ascii="Arial" w:hAnsi="Arial" w:cs="Arial"/>
          <w:color w:val="000000"/>
        </w:rPr>
        <w:t>:</w:t>
      </w:r>
    </w:p>
    <w:p w14:paraId="4C0CFFDF" w14:textId="0E03B045" w:rsidR="00153EE6" w:rsidRPr="00153EE6" w:rsidRDefault="00153EE6" w:rsidP="00153EE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seguire il consenso con un rialzo dei tassi di 50 pb</w:t>
      </w:r>
    </w:p>
    <w:p w14:paraId="29C0E0E2" w14:textId="3E8DFFCA" w:rsidR="00153EE6" w:rsidRPr="00153EE6" w:rsidRDefault="00153EE6" w:rsidP="00153EE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l'annuncio della partenza del QT (ossia minori reinvestimenti sul solo piano APP) a partire da marzo per 15Mld€ mensili fino alla fine del secondo trimestre</w:t>
      </w:r>
    </w:p>
    <w:p w14:paraId="678013E4" w14:textId="77777777" w:rsidR="00153EE6" w:rsidRPr="00153EE6" w:rsidRDefault="00153EE6" w:rsidP="00153EE6">
      <w:pPr>
        <w:pStyle w:val="NormaleWeb"/>
        <w:jc w:val="both"/>
        <w:rPr>
          <w:rFonts w:ascii="Arial" w:hAnsi="Arial" w:cs="Arial"/>
          <w:color w:val="000000"/>
        </w:rPr>
      </w:pPr>
    </w:p>
    <w:p w14:paraId="37881135" w14:textId="689ABA9D" w:rsidR="00153EE6" w:rsidRPr="00153EE6" w:rsidRDefault="00153EE6" w:rsidP="00153EE6">
      <w:pPr>
        <w:pStyle w:val="NormaleWeb"/>
        <w:jc w:val="both"/>
        <w:rPr>
          <w:rFonts w:ascii="Arial" w:hAnsi="Arial" w:cs="Arial"/>
          <w:color w:val="000000"/>
        </w:rPr>
      </w:pPr>
      <w:r w:rsidRPr="00153EE6">
        <w:rPr>
          <w:rFonts w:ascii="Arial" w:hAnsi="Arial" w:cs="Arial"/>
          <w:color w:val="000000"/>
        </w:rPr>
        <w:t>Parto dalle conclusioni e di seguito i dettagli</w:t>
      </w:r>
      <w:r>
        <w:rPr>
          <w:rFonts w:ascii="Arial" w:hAnsi="Arial" w:cs="Arial"/>
          <w:color w:val="000000"/>
        </w:rPr>
        <w:t>:</w:t>
      </w:r>
    </w:p>
    <w:p w14:paraId="7A08EFFF" w14:textId="12F61379" w:rsidR="00153EE6" w:rsidRPr="00153EE6" w:rsidRDefault="00153EE6" w:rsidP="00153EE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Una Lagarde molto dura e netta è arrivata a richiamare i mercati sul fatto che le aspettative sul tasso di approdo finale son troppo basse per poter essere compatibili con l'obiettivo del 2% in tempi celeri</w:t>
      </w:r>
    </w:p>
    <w:p w14:paraId="43EC105C" w14:textId="0555B4CB" w:rsidR="00153EE6" w:rsidRPr="00153EE6" w:rsidRDefault="00153EE6" w:rsidP="00153EE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In merito al rialzo di 50 pb ha precisato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23C63AD" w14:textId="2406422E" w:rsidR="00153EE6" w:rsidRPr="00153EE6" w:rsidRDefault="00153EE6" w:rsidP="00153EE6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che il passaggio da 75 a 50 pb non è da 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intendersi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come pivot</w:t>
      </w:r>
    </w:p>
    <w:p w14:paraId="71C8BDE9" w14:textId="1F25AD17" w:rsidR="00153EE6" w:rsidRDefault="00153EE6" w:rsidP="00153EE6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che la BCE continuerà a rialzare a questo ritmo in futuro</w:t>
      </w:r>
    </w:p>
    <w:p w14:paraId="036DFEAF" w14:textId="77777777" w:rsidR="00153EE6" w:rsidRPr="00153EE6" w:rsidRDefault="00153EE6" w:rsidP="00153EE6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2A7A39" w14:textId="136E5109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L'atteggiamento molto duro della Lagarde può essere </w:t>
      </w:r>
      <w:r>
        <w:rPr>
          <w:rFonts w:ascii="Arial" w:eastAsia="Times New Roman" w:hAnsi="Arial" w:cs="Arial"/>
          <w:color w:val="000000"/>
          <w:sz w:val="24"/>
          <w:szCs w:val="24"/>
        </w:rPr>
        <w:t>sintetizzato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da questa sua frase:</w:t>
      </w:r>
    </w:p>
    <w:p w14:paraId="219FA9CF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153EE6">
        <w:rPr>
          <w:rStyle w:val="contentpasted1"/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“We have more ground to cover, we have to go longer, and we are in this long game.”</w:t>
      </w:r>
    </w:p>
    <w:p w14:paraId="05424085" w14:textId="0A278D88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59B1EB62" w14:textId="132F89DD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Le parole della Lagarde sono arrivate contestualmente a dati sulle vendite al dettaglio Us di novembre che hanno segnalato un marcato 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rallentamento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con quasi tutte le voci di spesa in calo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9FE9DE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6DBA644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La reazione dei mercati è stata evidente: terminal rate portato in area 3,25% e riduzione marcata del differenziale tasso (al minimo dal 2020 sul comparto 10y) che ha contribuito al rafforzamento dell'euro</w:t>
      </w:r>
    </w:p>
    <w:p w14:paraId="53865685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3B201A8" w14:textId="1E3A44AD" w:rsid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Tassi impliciti future Euribr 3M (in arancione oggi vs ieri in verde)</w:t>
      </w:r>
    </w:p>
    <w:p w14:paraId="3C696EC6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685F7" w14:textId="1FCE0C73" w:rsid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D153B4E" wp14:editId="24246091">
            <wp:extent cx="4076700" cy="246888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050CC" w14:textId="72E884B6" w:rsid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D383BD1" w14:textId="515BAAF3" w:rsid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4BA06F1" w14:textId="2FA91D26" w:rsid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5D00D3B" w14:textId="19983C6B" w:rsid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67042E0" w14:textId="77777777" w:rsidR="00153EE6" w:rsidRP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27E18D8" w14:textId="6CC5B43C" w:rsid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Spread tassi 10 anni Us vs Germania</w:t>
      </w:r>
    </w:p>
    <w:p w14:paraId="77A055B5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8BCE38" w14:textId="7BC26C67" w:rsidR="00153EE6" w:rsidRP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2911858" wp14:editId="6C6B0C97">
            <wp:extent cx="4038600" cy="1760220"/>
            <wp:effectExtent l="0" t="0" r="0" b="1143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2F337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E959A6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2118E2" w14:textId="39399CA9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La partenza del QT a marzo con un importo superiore al minimo 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ipotizzato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dal consenso (15 vs 10 Mld€) ha contribuito a ripo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tare 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pread sopra i 200pb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C47F4D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5487B7" w14:textId="79C52A19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In prospettiva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1E729AE" w14:textId="77777777" w:rsidR="00153EE6" w:rsidRPr="00153EE6" w:rsidRDefault="00153EE6" w:rsidP="00153EE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la BCE oggi ha dato l'impressione di </w:t>
      </w: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voler sganciarsi dalla Fed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che di fatto ha marcato stretto negli ultimi mesi</w:t>
      </w:r>
    </w:p>
    <w:p w14:paraId="722A202B" w14:textId="340F4B32" w:rsidR="00153EE6" w:rsidRPr="00153EE6" w:rsidRDefault="00153EE6" w:rsidP="00734AD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BCE potrebbe </w:t>
      </w: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implementare</w:t>
      </w: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manovre restrittive anche dopo lo stop della Fed,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ossia presumibilmente dopo febbraio, di fronte ad un'inflazione euro molto più difficile da domare a causa della componente energetica</w:t>
      </w:r>
    </w:p>
    <w:p w14:paraId="6F0F1055" w14:textId="60AF1D95" w:rsidR="00153EE6" w:rsidRPr="00153EE6" w:rsidRDefault="00153EE6" w:rsidP="00FF4178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Tale atteggiamento potrebbe portare a fasi di maggiore turbolenza in area euro tra primo e secondo trimestre rispetto agli Usa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, in vista di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potenziale impatto al rialzo sulle commodity che potrebbe arrivare dalle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FF2849E" w14:textId="77777777" w:rsidR="00153EE6" w:rsidRPr="00153EE6" w:rsidRDefault="00153EE6" w:rsidP="00153EE6">
      <w:pPr>
        <w:numPr>
          <w:ilvl w:val="2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riaperture cinesi con il nuovo anno lunare</w:t>
      </w:r>
    </w:p>
    <w:p w14:paraId="05D65F11" w14:textId="77777777" w:rsidR="00153EE6" w:rsidRPr="00153EE6" w:rsidRDefault="00153EE6" w:rsidP="00153EE6">
      <w:pPr>
        <w:numPr>
          <w:ilvl w:val="2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ritorno degli acquisti di gas naturale da parte della Ue. Ovviamente il tutto salvo notizie più favorevoli sul fronte forniture di gas russo in termini di quantità e prezzo</w:t>
      </w:r>
    </w:p>
    <w:p w14:paraId="704ED1E0" w14:textId="10DDEAC2" w:rsidR="00153EE6" w:rsidRPr="00153EE6" w:rsidRDefault="00153EE6" w:rsidP="00D2613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Successivamente bond ed 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quity potrebbero registrare un progressivo miglioramento con l'avvicinarsi della recessione Usa nella seconda parte del 2023, che potrebbe portare ad un rallentamento delle politiche restrittive prima da parte della Fed e solo 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successivamente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 xml:space="preserve"> da parte della BCE</w:t>
      </w:r>
      <w:r w:rsidRPr="00153EE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D67F8E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E823C2" w14:textId="77777777" w:rsidR="00153EE6" w:rsidRPr="00153EE6" w:rsidRDefault="00153EE6" w:rsidP="00153EE6">
      <w:pPr>
        <w:pStyle w:val="NormaleWeb"/>
        <w:jc w:val="both"/>
        <w:rPr>
          <w:rFonts w:ascii="Arial" w:hAnsi="Arial" w:cs="Arial"/>
          <w:color w:val="000000"/>
        </w:rPr>
      </w:pPr>
      <w:r w:rsidRPr="00153EE6">
        <w:rPr>
          <w:rFonts w:ascii="Arial" w:hAnsi="Arial" w:cs="Arial"/>
          <w:b/>
          <w:bCs/>
          <w:color w:val="000000"/>
        </w:rPr>
        <w:t>DETTAGLI</w:t>
      </w:r>
    </w:p>
    <w:p w14:paraId="31B093A8" w14:textId="77777777" w:rsidR="00153EE6" w:rsidRPr="00153EE6" w:rsidRDefault="00153EE6" w:rsidP="00153EE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Lo staff della BCE ha aggiornato anche le previsioni per i prossimi tre anni, con la prima volta della comparsa di stime per il 2025</w:t>
      </w:r>
    </w:p>
    <w:p w14:paraId="5E1D6720" w14:textId="77777777" w:rsidR="00153EE6" w:rsidRPr="00153EE6" w:rsidRDefault="00153EE6" w:rsidP="00153EE6">
      <w:pPr>
        <w:pStyle w:val="NormaleWeb"/>
        <w:jc w:val="both"/>
        <w:rPr>
          <w:rFonts w:ascii="Arial" w:hAnsi="Arial" w:cs="Arial"/>
          <w:color w:val="000000"/>
        </w:rPr>
      </w:pPr>
    </w:p>
    <w:p w14:paraId="290A2153" w14:textId="45A898A9" w:rsidR="00153EE6" w:rsidRPr="00153EE6" w:rsidRDefault="00153EE6" w:rsidP="00153E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35FCF4B" wp14:editId="750115A7">
            <wp:extent cx="2819400" cy="1516380"/>
            <wp:effectExtent l="0" t="0" r="0" b="7620"/>
            <wp:docPr id="4" name="Immagin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39CF" w14:textId="77777777" w:rsidR="00153EE6" w:rsidRPr="00153EE6" w:rsidRDefault="00153EE6" w:rsidP="00153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48F66B6" w14:textId="77777777" w:rsidR="00153EE6" w:rsidRPr="00153EE6" w:rsidRDefault="00153EE6" w:rsidP="00153EE6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Per la prima volta le previsioni coprono il 2025 con il tasso di inflazione atteso al 2,3%, ossia ancora sopra il target</w:t>
      </w:r>
    </w:p>
    <w:p w14:paraId="0C64038D" w14:textId="77777777" w:rsidR="00153EE6" w:rsidRPr="00153EE6" w:rsidRDefault="00153EE6" w:rsidP="00153EE6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Nel comunicato si fa riferimento al fatto che una possibile recessione potrebbe essere breve e poco profonda</w:t>
      </w:r>
    </w:p>
    <w:p w14:paraId="73E8EADF" w14:textId="77777777" w:rsidR="00153EE6" w:rsidRPr="00153EE6" w:rsidRDefault="00153EE6" w:rsidP="00153EE6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EE6">
        <w:rPr>
          <w:rFonts w:ascii="Arial" w:eastAsia="Times New Roman" w:hAnsi="Arial" w:cs="Arial"/>
          <w:color w:val="000000"/>
          <w:sz w:val="24"/>
          <w:szCs w:val="24"/>
        </w:rPr>
        <w:t>La Lagarde ha sottolineato che le pressioni al rialzo sui salari si stanno intensificando in presenza di un mercato del lavoro forte</w:t>
      </w:r>
    </w:p>
    <w:p w14:paraId="358EE9AB" w14:textId="32D4B92C" w:rsidR="00153EE6" w:rsidRPr="00626288" w:rsidRDefault="00153EE6" w:rsidP="0056395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6288">
        <w:rPr>
          <w:rFonts w:ascii="Arial" w:eastAsia="Times New Roman" w:hAnsi="Arial" w:cs="Arial"/>
          <w:color w:val="000000"/>
          <w:sz w:val="24"/>
          <w:szCs w:val="24"/>
        </w:rPr>
        <w:t xml:space="preserve">Sul tema inflazione la Lagarde ha </w:t>
      </w:r>
      <w:r w:rsidR="00626288" w:rsidRPr="00626288">
        <w:rPr>
          <w:rFonts w:ascii="Arial" w:eastAsia="Times New Roman" w:hAnsi="Arial" w:cs="Arial"/>
          <w:color w:val="000000"/>
          <w:sz w:val="24"/>
          <w:szCs w:val="24"/>
        </w:rPr>
        <w:t>preannunciato</w:t>
      </w:r>
      <w:r w:rsidRPr="00626288">
        <w:rPr>
          <w:rFonts w:ascii="Arial" w:eastAsia="Times New Roman" w:hAnsi="Arial" w:cs="Arial"/>
          <w:color w:val="000000"/>
          <w:sz w:val="24"/>
          <w:szCs w:val="24"/>
        </w:rPr>
        <w:t xml:space="preserve"> un calo a dicembre seguito però da un'</w:t>
      </w:r>
      <w:r w:rsidR="00626288" w:rsidRPr="00626288">
        <w:rPr>
          <w:rFonts w:ascii="Arial" w:eastAsia="Times New Roman" w:hAnsi="Arial" w:cs="Arial"/>
          <w:color w:val="000000"/>
          <w:sz w:val="24"/>
          <w:szCs w:val="24"/>
        </w:rPr>
        <w:t>accelerazione</w:t>
      </w:r>
      <w:r w:rsidRPr="00626288">
        <w:rPr>
          <w:rFonts w:ascii="Arial" w:eastAsia="Times New Roman" w:hAnsi="Arial" w:cs="Arial"/>
          <w:color w:val="000000"/>
          <w:sz w:val="24"/>
          <w:szCs w:val="24"/>
        </w:rPr>
        <w:t xml:space="preserve"> a gennaio/febbraio, a causa del fatto che ad inizio anno si amplifica la trasmissione a valle del caro energia</w:t>
      </w:r>
      <w:r w:rsidR="00626288" w:rsidRPr="006262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17ED16" w14:textId="77777777" w:rsidR="00ED526B" w:rsidRPr="00153EE6" w:rsidRDefault="00ED526B" w:rsidP="00153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EF2A01" w14:textId="77777777" w:rsidR="00ED526B" w:rsidRPr="00153EE6" w:rsidRDefault="00ED526B" w:rsidP="00153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8E76252" w14:textId="6CCD21AE" w:rsidR="003F3F89" w:rsidRPr="00153EE6" w:rsidRDefault="003F3F89" w:rsidP="00153EE6">
      <w:pPr>
        <w:spacing w:after="0" w:line="240" w:lineRule="auto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  <w:r w:rsidRPr="00153EE6"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  <w:t xml:space="preserve">INTERMONTE </w:t>
      </w:r>
    </w:p>
    <w:p w14:paraId="2FB3958B" w14:textId="77777777" w:rsidR="003F3F89" w:rsidRPr="00153EE6" w:rsidRDefault="003F3F89" w:rsidP="00153EE6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153EE6">
        <w:rPr>
          <w:rFonts w:ascii="Arial" w:hAnsi="Arial" w:cs="Arial"/>
          <w:color w:val="000000"/>
          <w:sz w:val="18"/>
          <w:szCs w:val="18"/>
        </w:rPr>
        <w:t xml:space="preserve"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</w:t>
      </w:r>
      <w:r w:rsidRPr="00153EE6">
        <w:rPr>
          <w:rFonts w:ascii="Arial" w:hAnsi="Arial" w:cs="Arial"/>
          <w:color w:val="000000"/>
          <w:sz w:val="18"/>
          <w:szCs w:val="18"/>
          <w:u w:val="single"/>
        </w:rPr>
        <w:t>L’Investment</w:t>
      </w:r>
      <w:r w:rsidRPr="00153EE6">
        <w:rPr>
          <w:rFonts w:ascii="Arial" w:hAnsi="Arial" w:cs="Arial"/>
          <w:color w:val="000000"/>
          <w:sz w:val="18"/>
          <w:u w:val="single"/>
        </w:rPr>
        <w:t xml:space="preserve"> Banking</w:t>
      </w:r>
      <w:r w:rsidRPr="00153EE6">
        <w:rPr>
          <w:rFonts w:ascii="Arial" w:hAnsi="Arial" w:cs="Arial"/>
          <w:color w:val="000000"/>
          <w:sz w:val="18"/>
          <w:szCs w:val="18"/>
        </w:rPr>
        <w:t xml:space="preserve"> offre servizi rivolti a imprese quotate e non quotate in operazioni straordinarie, incluse operazioni di Equity Capital Markets, Advisory, M&amp;A e Debt Capital Markets. Le divisioni </w:t>
      </w:r>
      <w:r w:rsidRPr="00153EE6">
        <w:rPr>
          <w:rFonts w:ascii="Arial" w:hAnsi="Arial" w:cs="Arial"/>
          <w:color w:val="000000"/>
          <w:sz w:val="18"/>
          <w:u w:val="single"/>
        </w:rPr>
        <w:t>Sales &amp; Trading e Global Markets</w:t>
      </w:r>
      <w:r w:rsidRPr="00153EE6">
        <w:rPr>
          <w:rFonts w:ascii="Arial" w:hAnsi="Arial" w:cs="Arial"/>
          <w:color w:val="000000"/>
          <w:sz w:val="18"/>
          <w:szCs w:val="18"/>
        </w:rPr>
        <w:t xml:space="preserve">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</w:t>
      </w:r>
      <w:r w:rsidRPr="00153EE6">
        <w:rPr>
          <w:rFonts w:ascii="Arial" w:hAnsi="Arial" w:cs="Arial"/>
          <w:color w:val="000000"/>
          <w:sz w:val="18"/>
          <w:szCs w:val="18"/>
          <w:u w:val="single"/>
        </w:rPr>
        <w:t>La divisione “Digital Division &amp; Advisory”</w:t>
      </w:r>
      <w:r w:rsidRPr="00153EE6">
        <w:rPr>
          <w:rFonts w:ascii="Arial" w:hAnsi="Arial" w:cs="Arial"/>
          <w:color w:val="000000"/>
          <w:sz w:val="18"/>
          <w:szCs w:val="18"/>
        </w:rPr>
        <w:t xml:space="preserve"> è attiva nel risparmio gestito e consulenza agli investimenti. Websim è specializzata in produzione di contenuti finanziari destinati a investitori retail. T.I.E. - The Intermonte Eye - è l’area riservata a consulenti finanziari e private banker</w:t>
      </w:r>
      <w:r w:rsidRPr="00153EE6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7BA0AE56" w14:textId="77777777" w:rsidR="00A76468" w:rsidRPr="00153EE6" w:rsidRDefault="00A76468" w:rsidP="00153E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7EFEE52" w14:textId="01C848E2" w:rsidR="00A76468" w:rsidRPr="00153EE6" w:rsidRDefault="00A76468" w:rsidP="00153E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53EE6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0A9684F4" w14:textId="77777777" w:rsidR="00A76468" w:rsidRPr="00153EE6" w:rsidRDefault="00A76468" w:rsidP="00153E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53EE6">
        <w:rPr>
          <w:rFonts w:ascii="Arial" w:hAnsi="Arial" w:cs="Arial"/>
          <w:b/>
          <w:i/>
          <w:sz w:val="18"/>
          <w:szCs w:val="18"/>
        </w:rPr>
        <w:t>BC Communication</w:t>
      </w:r>
    </w:p>
    <w:p w14:paraId="4B772ADB" w14:textId="77777777" w:rsidR="00A76468" w:rsidRPr="00153EE6" w:rsidRDefault="00A76468" w:rsidP="00153E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53EE6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153EE6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4" w:history="1">
        <w:r w:rsidRPr="00153EE6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153EE6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153EE6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153EE6">
        <w:rPr>
          <w:rFonts w:ascii="Arial" w:hAnsi="Arial" w:cs="Arial"/>
          <w:b/>
          <w:i/>
          <w:sz w:val="18"/>
          <w:szCs w:val="18"/>
        </w:rPr>
        <w:t>+39 335 5635111</w:t>
      </w:r>
    </w:p>
    <w:p w14:paraId="35B3DF76" w14:textId="2D8394C2" w:rsidR="00A76468" w:rsidRPr="00153EE6" w:rsidRDefault="00FC51FA" w:rsidP="00153E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53EE6">
        <w:rPr>
          <w:rFonts w:ascii="Arial" w:hAnsi="Arial" w:cs="Arial"/>
          <w:b/>
          <w:i/>
          <w:sz w:val="18"/>
          <w:szCs w:val="18"/>
        </w:rPr>
        <w:t>Federica Guerrini</w:t>
      </w:r>
      <w:r w:rsidR="00A76468" w:rsidRPr="00153EE6">
        <w:rPr>
          <w:rFonts w:ascii="Arial" w:hAnsi="Arial" w:cs="Arial"/>
          <w:b/>
          <w:i/>
          <w:sz w:val="18"/>
          <w:szCs w:val="18"/>
        </w:rPr>
        <w:t xml:space="preserve"> </w:t>
      </w:r>
      <w:r w:rsidR="00A76468" w:rsidRPr="00153EE6">
        <w:rPr>
          <w:rFonts w:ascii="Arial" w:hAnsi="Arial" w:cs="Arial"/>
          <w:bCs/>
          <w:i/>
          <w:sz w:val="18"/>
          <w:szCs w:val="18"/>
        </w:rPr>
        <w:t>–</w:t>
      </w:r>
      <w:r w:rsidRPr="00153EE6">
        <w:rPr>
          <w:rFonts w:ascii="Arial" w:hAnsi="Arial" w:cs="Arial"/>
          <w:bCs/>
          <w:i/>
          <w:sz w:val="18"/>
          <w:szCs w:val="18"/>
        </w:rPr>
        <w:t xml:space="preserve"> </w:t>
      </w:r>
      <w:hyperlink r:id="rId15" w:history="1">
        <w:r w:rsidRPr="00153EE6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153EE6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153EE6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7777777" w:rsidR="00A76468" w:rsidRPr="00153EE6" w:rsidRDefault="00A76468" w:rsidP="00153EE6">
      <w:pPr>
        <w:pStyle w:val="notaintermont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sectPr w:rsidR="00A76468" w:rsidRPr="00153EE6" w:rsidSect="00A76468">
      <w:headerReference w:type="first" r:id="rId16"/>
      <w:pgSz w:w="11906" w:h="16838" w:code="9"/>
      <w:pgMar w:top="1701" w:right="1134" w:bottom="102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CD3E" w14:textId="77777777" w:rsidR="00506AD2" w:rsidRDefault="00506AD2" w:rsidP="00652E76">
      <w:pPr>
        <w:spacing w:after="0" w:line="240" w:lineRule="auto"/>
      </w:pPr>
      <w:r>
        <w:separator/>
      </w:r>
    </w:p>
  </w:endnote>
  <w:endnote w:type="continuationSeparator" w:id="0">
    <w:p w14:paraId="5FBA8D30" w14:textId="77777777" w:rsidR="00506AD2" w:rsidRDefault="00506AD2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8E9E" w14:textId="77777777" w:rsidR="00506AD2" w:rsidRDefault="00506AD2" w:rsidP="00652E76">
      <w:pPr>
        <w:spacing w:after="0" w:line="240" w:lineRule="auto"/>
      </w:pPr>
      <w:r>
        <w:separator/>
      </w:r>
    </w:p>
  </w:footnote>
  <w:footnote w:type="continuationSeparator" w:id="0">
    <w:p w14:paraId="511898B2" w14:textId="77777777" w:rsidR="00506AD2" w:rsidRDefault="00506AD2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7"/>
  </w:num>
  <w:num w:numId="7" w16cid:durableId="75442133">
    <w:abstractNumId w:val="17"/>
  </w:num>
  <w:num w:numId="8" w16cid:durableId="1502354731">
    <w:abstractNumId w:val="16"/>
  </w:num>
  <w:num w:numId="9" w16cid:durableId="1159007046">
    <w:abstractNumId w:val="20"/>
  </w:num>
  <w:num w:numId="10" w16cid:durableId="1071583816">
    <w:abstractNumId w:val="8"/>
  </w:num>
  <w:num w:numId="11" w16cid:durableId="1773238840">
    <w:abstractNumId w:val="18"/>
  </w:num>
  <w:num w:numId="12" w16cid:durableId="1475416074">
    <w:abstractNumId w:val="12"/>
  </w:num>
  <w:num w:numId="13" w16cid:durableId="191131037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6213305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113504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177000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7584425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4572984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4924628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242B"/>
    <w:rsid w:val="001748AB"/>
    <w:rsid w:val="00174FF5"/>
    <w:rsid w:val="001763A2"/>
    <w:rsid w:val="0017657F"/>
    <w:rsid w:val="001805A3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3177"/>
    <w:rsid w:val="00885380"/>
    <w:rsid w:val="00886694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5177"/>
    <w:rsid w:val="009F6490"/>
    <w:rsid w:val="009F6D21"/>
    <w:rsid w:val="009F6DE3"/>
    <w:rsid w:val="00A00B47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7699"/>
    <w:rsid w:val="00BC0682"/>
    <w:rsid w:val="00BC0D35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A1D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FF4"/>
    <w:rsid w:val="00EA2281"/>
    <w:rsid w:val="00EA2531"/>
    <w:rsid w:val="00EA2953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1bfcab61-b200-4713-9926-2faf80207c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121c7e4-90f1-4bad-960e-18c368fea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ica.guerrini@bc-communication.i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bbd2f5a8-c7f5-430f-bca8-8fdac4e85300" TargetMode="External"/><Relationship Id="rId14" Type="http://schemas.openxmlformats.org/officeDocument/2006/relationships/hyperlink" Target="mailto:beatrice.cagn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Federica Guerrini</cp:lastModifiedBy>
  <cp:revision>50</cp:revision>
  <cp:lastPrinted>2022-09-08T14:57:00Z</cp:lastPrinted>
  <dcterms:created xsi:type="dcterms:W3CDTF">2021-10-28T14:10:00Z</dcterms:created>
  <dcterms:modified xsi:type="dcterms:W3CDTF">2022-12-15T15:28:00Z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