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84" w:rsidRDefault="00107C4E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3C84" w:rsidRDefault="00AF3C84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F3C84" w:rsidRDefault="00AF3C84">
      <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F3C84" w:rsidRDefault="00AF3C84">
      <w:pPr>
        <w:rPr>
          <w:rFonts w:ascii="Times New Roman" w:eastAsia="Times New Roman" w:hAnsi="Times New Roman" w:cs="Times New Roman"/>
          <w:b w:val="0"/>
          <w:bCs w:val="0"/>
        </w:rPr>
      </w:pPr>
    </w:p>
    <w:p w:rsidR="00AF3C84" w:rsidRDefault="00AF3C84">
      <w:pPr>
        <w:rPr>
          <w:i/>
          <w:iCs/>
        </w:rPr>
      </w:pPr>
    </w:p>
    <w:p w:rsidR="00AF3C84" w:rsidRDefault="00AF3C84">
      <w:pPr>
        <w:jc w:val="right"/>
        <w:rPr>
          <w:i/>
          <w:iCs/>
        </w:rPr>
      </w:pPr>
    </w:p>
    <w:p w:rsidR="00AF3C84" w:rsidRDefault="0084208D">
      <w:pPr>
        <w:jc w:val="right"/>
        <w:rPr>
          <w:b w:val="0"/>
          <w:bCs w:val="0"/>
          <w:i/>
          <w:iCs/>
          <w:color w:val="000000"/>
        </w:rPr>
      </w:pPr>
      <w:r>
        <w:rPr>
          <w:b w:val="0"/>
          <w:bCs w:val="0"/>
          <w:i/>
          <w:iCs/>
          <w:color w:val="000000"/>
        </w:rPr>
        <w:t>Roma, 3</w:t>
      </w:r>
      <w:r w:rsidR="00656AA5">
        <w:rPr>
          <w:b w:val="0"/>
          <w:bCs w:val="0"/>
          <w:i/>
          <w:iCs/>
          <w:color w:val="000000"/>
        </w:rPr>
        <w:t xml:space="preserve"> novem</w:t>
      </w:r>
      <w:r w:rsidR="00484F8F">
        <w:rPr>
          <w:b w:val="0"/>
          <w:bCs w:val="0"/>
          <w:i/>
          <w:iCs/>
          <w:color w:val="000000"/>
        </w:rPr>
        <w:t>bre</w:t>
      </w:r>
      <w:r w:rsidR="00107C4E">
        <w:rPr>
          <w:b w:val="0"/>
          <w:bCs w:val="0"/>
          <w:i/>
          <w:iCs/>
          <w:color w:val="000000"/>
        </w:rPr>
        <w:t xml:space="preserve"> 2022</w:t>
      </w:r>
    </w:p>
    <w:p w:rsidR="00AF3C84" w:rsidRDefault="00AF3C84">
      <w:pPr>
        <w:jc w:val="right"/>
        <w:rPr>
          <w:color w:val="003366"/>
          <w:u w:val="single" w:color="003366"/>
        </w:rPr>
      </w:pPr>
    </w:p>
    <w:p w:rsidR="00525A96" w:rsidRDefault="00525A96">
      <w:pPr>
        <w:jc w:val="right"/>
        <w:rPr>
          <w:color w:val="003366"/>
          <w:u w:val="single" w:color="003366"/>
        </w:rPr>
      </w:pPr>
    </w:p>
    <w:p w:rsidR="00AF3C84" w:rsidRDefault="00AF3C84">
      <w:pPr>
        <w:rPr>
          <w:color w:val="003366"/>
          <w:sz w:val="16"/>
          <w:szCs w:val="16"/>
          <w:u w:val="single" w:color="003366"/>
        </w:rPr>
      </w:pPr>
    </w:p>
    <w:p w:rsidR="00AF3C84" w:rsidRDefault="00AF3C84">
      <w:pPr>
        <w:rPr>
          <w:color w:val="003366"/>
          <w:sz w:val="16"/>
          <w:szCs w:val="16"/>
          <w:u w:val="single" w:color="003366"/>
        </w:rPr>
      </w:pPr>
    </w:p>
    <w:p w:rsidR="00AF3C84" w:rsidRDefault="00107C4E" w:rsidP="00D0266E">
      <w:pPr>
        <w:spacing w:line="276" w:lineRule="auto"/>
        <w:rPr>
          <w:b w:val="0"/>
          <w:bCs w:val="0"/>
          <w:color w:val="003366"/>
          <w:sz w:val="20"/>
          <w:szCs w:val="20"/>
          <w:u w:val="single" w:color="003366"/>
        </w:rPr>
      </w:pPr>
      <w:r>
        <w:rPr>
          <w:b w:val="0"/>
          <w:bCs w:val="0"/>
          <w:color w:val="003366"/>
          <w:sz w:val="20"/>
          <w:szCs w:val="20"/>
          <w:u w:val="single" w:color="003366"/>
        </w:rPr>
        <w:t>MERCATO AUTOVEICOLI</w:t>
      </w:r>
    </w:p>
    <w:p w:rsidR="00AF3C84" w:rsidRDefault="00AF3C84" w:rsidP="00D0266E">
      <w:pPr>
        <w:spacing w:line="276" w:lineRule="auto"/>
        <w:rPr>
          <w:color w:val="003366"/>
          <w:sz w:val="16"/>
          <w:szCs w:val="16"/>
          <w:u w:val="single" w:color="003366"/>
        </w:rPr>
      </w:pPr>
    </w:p>
    <w:p w:rsidR="009C696C" w:rsidRDefault="009C696C" w:rsidP="00D0266E">
      <w:pPr>
        <w:spacing w:line="276" w:lineRule="auto"/>
        <w:rPr>
          <w:color w:val="003366"/>
          <w:sz w:val="16"/>
          <w:szCs w:val="16"/>
          <w:u w:val="single" w:color="003366"/>
        </w:rPr>
      </w:pPr>
    </w:p>
    <w:p w:rsidR="00AF3C84" w:rsidRDefault="00107C4E" w:rsidP="00D0266E">
      <w:pPr>
        <w:spacing w:line="276" w:lineRule="auto"/>
        <w:rPr>
          <w:color w:val="800000"/>
          <w:sz w:val="24"/>
          <w:szCs w:val="24"/>
          <w:u w:color="800000"/>
        </w:rPr>
      </w:pP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ACI: </w:t>
      </w:r>
      <w:r w:rsidR="00484F8F">
        <w:rPr>
          <w:rFonts w:eastAsia="Arial Unicode MS" w:cs="Arial Unicode MS"/>
          <w:color w:val="800000"/>
          <w:sz w:val="24"/>
          <w:szCs w:val="24"/>
          <w:u w:color="800000"/>
        </w:rPr>
        <w:t xml:space="preserve">OTTOBRE IN ROSSO PER L’AUTO USATA MA NON PER LE MINIVOLTURE </w:t>
      </w: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 </w:t>
      </w:r>
    </w:p>
    <w:p w:rsidR="00AF3C84" w:rsidRDefault="00484F8F" w:rsidP="00D0266E">
      <w:pPr>
        <w:spacing w:line="276" w:lineRule="auto"/>
        <w:rPr>
          <w:color w:val="800000"/>
          <w:sz w:val="24"/>
          <w:szCs w:val="24"/>
          <w:u w:color="800000"/>
        </w:rPr>
      </w:pP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IL </w:t>
      </w:r>
      <w:r w:rsidR="00107C4E">
        <w:rPr>
          <w:rFonts w:eastAsia="Arial Unicode MS" w:cs="Arial Unicode MS"/>
          <w:color w:val="800000"/>
          <w:sz w:val="24"/>
          <w:szCs w:val="24"/>
          <w:u w:color="800000"/>
        </w:rPr>
        <w:t xml:space="preserve">CALO </w:t>
      </w:r>
      <w:r>
        <w:rPr>
          <w:rFonts w:eastAsia="Arial Unicode MS" w:cs="Arial Unicode MS"/>
          <w:color w:val="800000"/>
          <w:sz w:val="24"/>
          <w:szCs w:val="24"/>
          <w:u w:color="800000"/>
        </w:rPr>
        <w:t xml:space="preserve">DELLE RADIAZIONI FA CRESCERE ANCORA IL PARCO CIRCOLANTE </w:t>
      </w:r>
    </w:p>
    <w:p w:rsidR="00AF3C84" w:rsidRDefault="00107C4E" w:rsidP="00D0266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3C84" w:rsidRDefault="00AF3C84" w:rsidP="00D0266E">
      <w:pPr>
        <w:spacing w:line="276" w:lineRule="auto"/>
        <w:jc w:val="both"/>
        <w:rPr>
          <w:sz w:val="16"/>
          <w:szCs w:val="16"/>
        </w:rPr>
      </w:pPr>
    </w:p>
    <w:p w:rsidR="001B353A" w:rsidRDefault="007628C3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Ennesimo bilancio in rosso ad ottobre per</w:t>
      </w:r>
      <w:r w:rsidR="00107C4E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il mercato delle auto di seconda mano</w:t>
      </w:r>
      <w:r w:rsidR="00107C4E">
        <w:rPr>
          <w:b w:val="0"/>
          <w:bCs w:val="0"/>
          <w:color w:val="000000"/>
          <w:sz w:val="20"/>
          <w:szCs w:val="20"/>
        </w:rPr>
        <w:t>, che</w:t>
      </w:r>
      <w:r>
        <w:rPr>
          <w:b w:val="0"/>
          <w:bCs w:val="0"/>
          <w:color w:val="000000"/>
          <w:sz w:val="20"/>
          <w:szCs w:val="20"/>
        </w:rPr>
        <w:t xml:space="preserve"> tuttavia almeno per le minivo</w:t>
      </w:r>
      <w:r>
        <w:rPr>
          <w:b w:val="0"/>
          <w:bCs w:val="0"/>
          <w:color w:val="000000"/>
          <w:sz w:val="20"/>
          <w:szCs w:val="20"/>
        </w:rPr>
        <w:t>l</w:t>
      </w:r>
      <w:r>
        <w:rPr>
          <w:b w:val="0"/>
          <w:bCs w:val="0"/>
          <w:color w:val="000000"/>
          <w:sz w:val="20"/>
          <w:szCs w:val="20"/>
        </w:rPr>
        <w:t xml:space="preserve">ture </w:t>
      </w:r>
      <w:r w:rsidR="00107C4E">
        <w:rPr>
          <w:b w:val="0"/>
          <w:bCs w:val="0"/>
          <w:color w:val="000000"/>
          <w:sz w:val="20"/>
          <w:szCs w:val="20"/>
        </w:rPr>
        <w:t xml:space="preserve">mostra </w:t>
      </w:r>
      <w:r w:rsidR="001B353A">
        <w:rPr>
          <w:b w:val="0"/>
          <w:bCs w:val="0"/>
          <w:color w:val="000000"/>
          <w:sz w:val="20"/>
          <w:szCs w:val="20"/>
        </w:rPr>
        <w:t xml:space="preserve">interessanti </w:t>
      </w:r>
      <w:r w:rsidR="00107C4E">
        <w:rPr>
          <w:b w:val="0"/>
          <w:bCs w:val="0"/>
          <w:color w:val="000000"/>
          <w:sz w:val="20"/>
          <w:szCs w:val="20"/>
        </w:rPr>
        <w:t>se</w:t>
      </w:r>
      <w:r>
        <w:rPr>
          <w:b w:val="0"/>
          <w:bCs w:val="0"/>
          <w:color w:val="000000"/>
          <w:sz w:val="20"/>
          <w:szCs w:val="20"/>
        </w:rPr>
        <w:t xml:space="preserve">gnali di </w:t>
      </w:r>
      <w:r w:rsidR="00107C4E">
        <w:rPr>
          <w:b w:val="0"/>
          <w:bCs w:val="0"/>
          <w:color w:val="000000"/>
          <w:sz w:val="20"/>
          <w:szCs w:val="20"/>
        </w:rPr>
        <w:t>ripresa. I</w:t>
      </w:r>
      <w:r w:rsidR="00107C4E">
        <w:rPr>
          <w:color w:val="000000"/>
          <w:sz w:val="20"/>
          <w:szCs w:val="20"/>
        </w:rPr>
        <w:t xml:space="preserve"> passaggi di proprietà delle autovetture al netto delle minivolture</w:t>
      </w:r>
      <w:r w:rsidR="00107C4E">
        <w:rPr>
          <w:b w:val="0"/>
          <w:bCs w:val="0"/>
          <w:color w:val="000000"/>
          <w:sz w:val="20"/>
          <w:szCs w:val="20"/>
        </w:rPr>
        <w:t xml:space="preserve"> (trasferimenti temporanei a nome del concessionario in attesa della rivendita al cliente finale) hanno chiuso il b</w:t>
      </w:r>
      <w:r w:rsidR="00107C4E">
        <w:rPr>
          <w:b w:val="0"/>
          <w:bCs w:val="0"/>
          <w:color w:val="000000"/>
          <w:sz w:val="20"/>
          <w:szCs w:val="20"/>
        </w:rPr>
        <w:t>i</w:t>
      </w:r>
      <w:r w:rsidR="00107C4E">
        <w:rPr>
          <w:b w:val="0"/>
          <w:bCs w:val="0"/>
          <w:color w:val="000000"/>
          <w:sz w:val="20"/>
          <w:szCs w:val="20"/>
        </w:rPr>
        <w:t xml:space="preserve">lancio mensile in </w:t>
      </w:r>
      <w:r w:rsidR="001B353A">
        <w:rPr>
          <w:color w:val="000000"/>
          <w:sz w:val="20"/>
          <w:szCs w:val="20"/>
        </w:rPr>
        <w:t>calo del 5,5% rispetto ad ottobre</w:t>
      </w:r>
      <w:r w:rsidR="00107C4E">
        <w:rPr>
          <w:color w:val="000000"/>
          <w:sz w:val="20"/>
          <w:szCs w:val="20"/>
        </w:rPr>
        <w:t xml:space="preserve"> 202</w:t>
      </w:r>
      <w:r w:rsidR="001B353A">
        <w:rPr>
          <w:color w:val="000000"/>
          <w:sz w:val="20"/>
          <w:szCs w:val="20"/>
        </w:rPr>
        <w:t>1</w:t>
      </w:r>
      <w:r w:rsidR="001B353A">
        <w:rPr>
          <w:b w:val="0"/>
          <w:bCs w:val="0"/>
          <w:color w:val="000000"/>
          <w:sz w:val="20"/>
          <w:szCs w:val="20"/>
        </w:rPr>
        <w:t xml:space="preserve">. </w:t>
      </w:r>
      <w:r w:rsidR="001B353A" w:rsidRPr="001B353A">
        <w:rPr>
          <w:b w:val="0"/>
          <w:bCs w:val="0"/>
          <w:color w:val="000000"/>
          <w:sz w:val="20"/>
          <w:szCs w:val="20"/>
        </w:rPr>
        <w:t>Al</w:t>
      </w:r>
      <w:r w:rsidR="001B353A">
        <w:rPr>
          <w:b w:val="0"/>
          <w:bCs w:val="0"/>
          <w:color w:val="000000"/>
          <w:sz w:val="20"/>
          <w:szCs w:val="20"/>
        </w:rPr>
        <w:t xml:space="preserve"> contrario, le </w:t>
      </w:r>
      <w:r w:rsidR="00656AA5">
        <w:rPr>
          <w:bCs w:val="0"/>
          <w:color w:val="000000"/>
          <w:sz w:val="20"/>
          <w:szCs w:val="20"/>
        </w:rPr>
        <w:t>minivol</w:t>
      </w:r>
      <w:r w:rsidR="001B353A" w:rsidRPr="001B353A">
        <w:rPr>
          <w:bCs w:val="0"/>
          <w:color w:val="000000"/>
          <w:sz w:val="20"/>
          <w:szCs w:val="20"/>
        </w:rPr>
        <w:t>ture</w:t>
      </w:r>
      <w:r w:rsidR="001B353A">
        <w:rPr>
          <w:b w:val="0"/>
          <w:bCs w:val="0"/>
          <w:color w:val="000000"/>
          <w:sz w:val="20"/>
          <w:szCs w:val="20"/>
        </w:rPr>
        <w:t xml:space="preserve"> hanno finalmente archivi</w:t>
      </w:r>
      <w:r w:rsidR="001B353A">
        <w:rPr>
          <w:b w:val="0"/>
          <w:bCs w:val="0"/>
          <w:color w:val="000000"/>
          <w:sz w:val="20"/>
          <w:szCs w:val="20"/>
        </w:rPr>
        <w:t>a</w:t>
      </w:r>
      <w:r w:rsidR="001B353A">
        <w:rPr>
          <w:b w:val="0"/>
          <w:bCs w:val="0"/>
          <w:color w:val="000000"/>
          <w:sz w:val="20"/>
          <w:szCs w:val="20"/>
        </w:rPr>
        <w:t>to</w:t>
      </w:r>
      <w:r w:rsidR="00525A96">
        <w:rPr>
          <w:b w:val="0"/>
          <w:bCs w:val="0"/>
          <w:color w:val="000000"/>
          <w:sz w:val="20"/>
          <w:szCs w:val="20"/>
        </w:rPr>
        <w:t>,</w:t>
      </w:r>
      <w:r w:rsidR="001B353A">
        <w:rPr>
          <w:b w:val="0"/>
          <w:bCs w:val="0"/>
          <w:color w:val="000000"/>
          <w:sz w:val="20"/>
          <w:szCs w:val="20"/>
        </w:rPr>
        <w:t xml:space="preserve"> dopo oltre un anno di contrazioni</w:t>
      </w:r>
      <w:r w:rsidR="00525A96">
        <w:rPr>
          <w:b w:val="0"/>
          <w:bCs w:val="0"/>
          <w:color w:val="000000"/>
          <w:sz w:val="20"/>
          <w:szCs w:val="20"/>
        </w:rPr>
        <w:t>,</w:t>
      </w:r>
      <w:r w:rsidR="001B353A">
        <w:rPr>
          <w:b w:val="0"/>
          <w:bCs w:val="0"/>
          <w:color w:val="000000"/>
          <w:sz w:val="20"/>
          <w:szCs w:val="20"/>
        </w:rPr>
        <w:t xml:space="preserve"> una </w:t>
      </w:r>
      <w:r w:rsidR="001B353A">
        <w:rPr>
          <w:color w:val="000000"/>
          <w:sz w:val="20"/>
          <w:szCs w:val="20"/>
        </w:rPr>
        <w:t>variazione mensile positiva del 13%</w:t>
      </w:r>
      <w:r w:rsidR="001B353A">
        <w:rPr>
          <w:b w:val="0"/>
          <w:bCs w:val="0"/>
          <w:color w:val="000000"/>
          <w:sz w:val="20"/>
          <w:szCs w:val="20"/>
        </w:rPr>
        <w:t>.</w:t>
      </w:r>
    </w:p>
    <w:p w:rsidR="001B353A" w:rsidRDefault="001B353A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</w:t>
      </w:r>
    </w:p>
    <w:p w:rsidR="00AF3C84" w:rsidRDefault="001B353A" w:rsidP="00D0266E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Nonostante l’incremento registrato ad ottobre da</w:t>
      </w:r>
      <w:r w:rsidR="00107C4E">
        <w:rPr>
          <w:b w:val="0"/>
          <w:bCs w:val="0"/>
          <w:color w:val="000000"/>
          <w:sz w:val="20"/>
          <w:szCs w:val="20"/>
        </w:rPr>
        <w:t>lle prime i</w:t>
      </w:r>
      <w:r>
        <w:rPr>
          <w:b w:val="0"/>
          <w:bCs w:val="0"/>
          <w:color w:val="000000"/>
          <w:sz w:val="20"/>
          <w:szCs w:val="20"/>
        </w:rPr>
        <w:t>scrizioni,</w:t>
      </w:r>
      <w:r w:rsidR="00107C4E">
        <w:rPr>
          <w:b w:val="0"/>
          <w:bCs w:val="0"/>
          <w:color w:val="000000"/>
          <w:sz w:val="20"/>
          <w:szCs w:val="20"/>
        </w:rPr>
        <w:t xml:space="preserve"> le compravendite di auto usa</w:t>
      </w:r>
      <w:r>
        <w:rPr>
          <w:b w:val="0"/>
          <w:bCs w:val="0"/>
          <w:color w:val="000000"/>
          <w:sz w:val="20"/>
          <w:szCs w:val="20"/>
        </w:rPr>
        <w:t xml:space="preserve">te </w:t>
      </w:r>
      <w:r w:rsidR="00107C4E">
        <w:rPr>
          <w:b w:val="0"/>
          <w:bCs w:val="0"/>
          <w:color w:val="000000"/>
          <w:sz w:val="20"/>
          <w:szCs w:val="20"/>
        </w:rPr>
        <w:t>risulta</w:t>
      </w:r>
      <w:r>
        <w:rPr>
          <w:b w:val="0"/>
          <w:bCs w:val="0"/>
          <w:color w:val="000000"/>
          <w:sz w:val="20"/>
          <w:szCs w:val="20"/>
        </w:rPr>
        <w:t>no anc</w:t>
      </w:r>
      <w:r>
        <w:rPr>
          <w:b w:val="0"/>
          <w:bCs w:val="0"/>
          <w:color w:val="000000"/>
          <w:sz w:val="20"/>
          <w:szCs w:val="20"/>
        </w:rPr>
        <w:t>o</w:t>
      </w:r>
      <w:r>
        <w:rPr>
          <w:b w:val="0"/>
          <w:bCs w:val="0"/>
          <w:color w:val="000000"/>
          <w:sz w:val="20"/>
          <w:szCs w:val="20"/>
        </w:rPr>
        <w:t>ra una volta</w:t>
      </w:r>
      <w:r w:rsidR="00107C4E">
        <w:rPr>
          <w:b w:val="0"/>
          <w:bCs w:val="0"/>
          <w:color w:val="000000"/>
          <w:sz w:val="20"/>
          <w:szCs w:val="20"/>
        </w:rPr>
        <w:t xml:space="preserve"> più del doppio rispetto alle </w:t>
      </w:r>
      <w:r>
        <w:rPr>
          <w:b w:val="0"/>
          <w:bCs w:val="0"/>
          <w:color w:val="000000"/>
          <w:sz w:val="20"/>
          <w:szCs w:val="20"/>
        </w:rPr>
        <w:t xml:space="preserve">nuove </w:t>
      </w:r>
      <w:r w:rsidR="00107C4E">
        <w:rPr>
          <w:b w:val="0"/>
          <w:bCs w:val="0"/>
          <w:color w:val="000000"/>
          <w:sz w:val="20"/>
          <w:szCs w:val="20"/>
        </w:rPr>
        <w:t xml:space="preserve">immatricolazioni: </w:t>
      </w:r>
      <w:r>
        <w:rPr>
          <w:color w:val="000000"/>
          <w:sz w:val="20"/>
          <w:szCs w:val="20"/>
        </w:rPr>
        <w:t>per ogni 100 vetture</w:t>
      </w:r>
      <w:r w:rsidR="00107C4E">
        <w:rPr>
          <w:color w:val="000000"/>
          <w:sz w:val="20"/>
          <w:szCs w:val="20"/>
        </w:rPr>
        <w:t xml:space="preserve"> nuove nel me</w:t>
      </w:r>
      <w:r>
        <w:rPr>
          <w:color w:val="000000"/>
          <w:sz w:val="20"/>
          <w:szCs w:val="20"/>
        </w:rPr>
        <w:t>se</w:t>
      </w:r>
      <w:r w:rsidR="00107C4E">
        <w:rPr>
          <w:color w:val="000000"/>
          <w:sz w:val="20"/>
          <w:szCs w:val="20"/>
        </w:rPr>
        <w:t xml:space="preserve"> si è reg</w:t>
      </w:r>
      <w:r w:rsidR="00107C4E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strata la vendita di 205</w:t>
      </w:r>
      <w:r w:rsidR="005E00F0">
        <w:rPr>
          <w:color w:val="000000"/>
          <w:sz w:val="20"/>
          <w:szCs w:val="20"/>
        </w:rPr>
        <w:t xml:space="preserve"> unità di seconda mano </w:t>
      </w:r>
      <w:r w:rsidR="00924941">
        <w:rPr>
          <w:color w:val="000000"/>
          <w:sz w:val="20"/>
          <w:szCs w:val="20"/>
        </w:rPr>
        <w:t>sia</w:t>
      </w:r>
      <w:r>
        <w:rPr>
          <w:color w:val="000000"/>
          <w:sz w:val="20"/>
          <w:szCs w:val="20"/>
        </w:rPr>
        <w:t xml:space="preserve"> nel mese di ottobre sia nei</w:t>
      </w:r>
      <w:r w:rsidR="00107C4E">
        <w:rPr>
          <w:color w:val="000000"/>
          <w:sz w:val="20"/>
          <w:szCs w:val="20"/>
        </w:rPr>
        <w:t xml:space="preserve"> pri</w:t>
      </w:r>
      <w:r>
        <w:rPr>
          <w:color w:val="000000"/>
          <w:sz w:val="20"/>
          <w:szCs w:val="20"/>
        </w:rPr>
        <w:t>mi dieci mesi dell’anno</w:t>
      </w:r>
      <w:r w:rsidR="00107C4E">
        <w:rPr>
          <w:color w:val="000000"/>
          <w:sz w:val="20"/>
          <w:szCs w:val="20"/>
        </w:rPr>
        <w:t>.</w:t>
      </w:r>
    </w:p>
    <w:p w:rsidR="00AF3C84" w:rsidRDefault="00AF3C84" w:rsidP="00D0266E">
      <w:pPr>
        <w:spacing w:line="276" w:lineRule="auto"/>
        <w:jc w:val="both"/>
        <w:rPr>
          <w:color w:val="000000"/>
          <w:sz w:val="20"/>
          <w:szCs w:val="20"/>
        </w:rPr>
      </w:pPr>
    </w:p>
    <w:p w:rsidR="00924941" w:rsidRPr="00D0266E" w:rsidRDefault="00924941" w:rsidP="00D0266E">
      <w:pPr>
        <w:pStyle w:val="Titolo"/>
      </w:pPr>
      <w:r w:rsidRPr="00D0266E">
        <w:t xml:space="preserve">A prevalere nelle compravendite dell’usato risultano sempre </w:t>
      </w:r>
      <w:r w:rsidR="00107C4E" w:rsidRPr="00D0266E">
        <w:t xml:space="preserve">le </w:t>
      </w:r>
      <w:r w:rsidR="00107C4E" w:rsidRPr="00D0266E">
        <w:rPr>
          <w:b/>
        </w:rPr>
        <w:t>alimentazioni tradizionali (benzina e gasolio)</w:t>
      </w:r>
      <w:r w:rsidR="00107C4E" w:rsidRPr="00D0266E">
        <w:t>,</w:t>
      </w:r>
      <w:r w:rsidRPr="00D0266E">
        <w:t xml:space="preserve"> mentre la quota di mercato delle </w:t>
      </w:r>
      <w:r w:rsidRPr="00D0266E">
        <w:rPr>
          <w:b/>
        </w:rPr>
        <w:t>vetture ibride a benzina</w:t>
      </w:r>
      <w:r w:rsidRPr="00D0266E">
        <w:t xml:space="preserve"> di seconda mano si attesta al 3,4%. Nei minipassaggi si conferma il primato delle auto diesel (51,8% di quota ad ottobre 2022, seppure in calo rispetto ad ottobre 2021, quando era il 55,5%), con un’incidenza di  ibride a benzina che raggiunge il 5,4%.</w:t>
      </w:r>
    </w:p>
    <w:p w:rsidR="00924941" w:rsidRPr="00924941" w:rsidRDefault="00924941" w:rsidP="00D0266E">
      <w:pPr>
        <w:pStyle w:val="Titolo"/>
      </w:pPr>
    </w:p>
    <w:p w:rsidR="00AF3C84" w:rsidRDefault="00924941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In ripresa ad ottobre </w:t>
      </w:r>
      <w:r w:rsidR="00107C4E">
        <w:rPr>
          <w:b w:val="0"/>
          <w:bCs w:val="0"/>
          <w:color w:val="000000"/>
          <w:sz w:val="20"/>
          <w:szCs w:val="20"/>
        </w:rPr>
        <w:t xml:space="preserve">i </w:t>
      </w:r>
      <w:r w:rsidR="00107C4E">
        <w:rPr>
          <w:color w:val="000000"/>
          <w:sz w:val="20"/>
          <w:szCs w:val="20"/>
        </w:rPr>
        <w:t xml:space="preserve">passaggi di proprietà dei motocicli, </w:t>
      </w:r>
      <w:r w:rsidR="00107C4E">
        <w:rPr>
          <w:b w:val="0"/>
          <w:bCs w:val="0"/>
          <w:color w:val="000000"/>
          <w:sz w:val="20"/>
          <w:szCs w:val="20"/>
        </w:rPr>
        <w:t>che al netto delle minivolture hanno messo a bilancio un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incremento del 4,7</w:t>
      </w:r>
      <w:r w:rsidR="00107C4E">
        <w:rPr>
          <w:color w:val="000000"/>
          <w:sz w:val="20"/>
          <w:szCs w:val="20"/>
        </w:rPr>
        <w:t xml:space="preserve">% </w:t>
      </w:r>
      <w:r w:rsidR="00107C4E">
        <w:rPr>
          <w:b w:val="0"/>
          <w:bCs w:val="0"/>
          <w:color w:val="000000"/>
          <w:sz w:val="20"/>
          <w:szCs w:val="20"/>
        </w:rPr>
        <w:t xml:space="preserve">rispetto allo stesso mese del </w:t>
      </w:r>
      <w:r>
        <w:rPr>
          <w:b w:val="0"/>
          <w:bCs w:val="0"/>
          <w:color w:val="000000"/>
          <w:sz w:val="20"/>
          <w:szCs w:val="20"/>
        </w:rPr>
        <w:t>2021</w:t>
      </w:r>
      <w:r w:rsidR="00107C4E">
        <w:rPr>
          <w:b w:val="0"/>
          <w:bCs w:val="0"/>
          <w:color w:val="000000"/>
          <w:sz w:val="20"/>
          <w:szCs w:val="20"/>
        </w:rPr>
        <w:t>.</w:t>
      </w:r>
    </w:p>
    <w:p w:rsidR="00AF3C84" w:rsidRDefault="00AF3C84" w:rsidP="00D0266E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F3C84" w:rsidRDefault="00924941" w:rsidP="00D0266E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Nei primi dieci</w:t>
      </w:r>
      <w:r w:rsidR="00107C4E">
        <w:rPr>
          <w:rFonts w:ascii="Cambria" w:hAnsi="Cambria"/>
          <w:sz w:val="20"/>
          <w:szCs w:val="20"/>
        </w:rPr>
        <w:t xml:space="preserve"> mesi del 2022 in confronto allo stesso periodo del 2021 i trasferimenti netti di proprietà hanno </w:t>
      </w:r>
      <w:r>
        <w:rPr>
          <w:rFonts w:ascii="Cambria" w:hAnsi="Cambria"/>
          <w:sz w:val="20"/>
          <w:szCs w:val="20"/>
        </w:rPr>
        <w:t>ev</w:t>
      </w:r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 xml:space="preserve">denziato </w:t>
      </w:r>
      <w:r w:rsidR="00656AA5">
        <w:rPr>
          <w:rFonts w:ascii="Cambria" w:hAnsi="Cambria"/>
          <w:sz w:val="20"/>
          <w:szCs w:val="20"/>
        </w:rPr>
        <w:t>variazioni negative dell’</w:t>
      </w:r>
      <w:r w:rsidR="00525A96">
        <w:rPr>
          <w:rFonts w:ascii="Cambria" w:hAnsi="Cambria"/>
          <w:sz w:val="20"/>
          <w:szCs w:val="20"/>
        </w:rPr>
        <w:t>11% per le autovetture, del 5,8% per i motocicli e dell’8,9</w:t>
      </w:r>
      <w:r w:rsidR="00107C4E">
        <w:rPr>
          <w:rFonts w:ascii="Cambria" w:hAnsi="Cambria"/>
          <w:sz w:val="20"/>
          <w:szCs w:val="20"/>
        </w:rPr>
        <w:t>% per tutti i veicoli.</w:t>
      </w:r>
    </w:p>
    <w:p w:rsidR="00AF3C84" w:rsidRDefault="00AF3C84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</w:p>
    <w:p w:rsidR="00AF3C84" w:rsidRDefault="00107C4E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I dati sono riportati nell’ultimo </w:t>
      </w:r>
      <w:r>
        <w:rPr>
          <w:color w:val="000000"/>
          <w:sz w:val="20"/>
          <w:szCs w:val="20"/>
        </w:rPr>
        <w:t>bollettino mensile “Auto-Trend”, l’analisi statistica realizzata dall’Automobile Club d’Italia sui dati del PRA</w:t>
      </w:r>
      <w:r>
        <w:rPr>
          <w:b w:val="0"/>
          <w:bCs w:val="0"/>
          <w:color w:val="000000"/>
          <w:sz w:val="20"/>
          <w:szCs w:val="20"/>
        </w:rPr>
        <w:t>, consultabile sul sito www.aci.it .</w:t>
      </w:r>
    </w:p>
    <w:p w:rsidR="00AF3C84" w:rsidRDefault="00AF3C84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</w:p>
    <w:p w:rsidR="00AF3C84" w:rsidRDefault="00525A96" w:rsidP="00D0266E">
      <w:pP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Non trova argine neppure nel mese di ottobre la crescita del parco circolante italiano. I</w:t>
      </w:r>
      <w:r w:rsidR="00107C4E">
        <w:rPr>
          <w:b w:val="0"/>
          <w:bCs w:val="0"/>
          <w:color w:val="000000"/>
          <w:sz w:val="20"/>
          <w:szCs w:val="20"/>
        </w:rPr>
        <w:t xml:space="preserve">n profondo rosso </w:t>
      </w:r>
      <w:r>
        <w:rPr>
          <w:b w:val="0"/>
          <w:bCs w:val="0"/>
          <w:color w:val="000000"/>
          <w:sz w:val="20"/>
          <w:szCs w:val="20"/>
        </w:rPr>
        <w:t>ancora una volta</w:t>
      </w:r>
      <w:r w:rsidR="00107C4E">
        <w:rPr>
          <w:b w:val="0"/>
          <w:bCs w:val="0"/>
          <w:color w:val="000000"/>
          <w:sz w:val="20"/>
          <w:szCs w:val="20"/>
        </w:rPr>
        <w:t xml:space="preserve"> le </w:t>
      </w:r>
      <w:r w:rsidR="00107C4E">
        <w:rPr>
          <w:color w:val="000000"/>
          <w:sz w:val="20"/>
          <w:szCs w:val="20"/>
        </w:rPr>
        <w:t xml:space="preserve">radiazioni di autovetture </w:t>
      </w:r>
      <w:r>
        <w:rPr>
          <w:color w:val="000000"/>
          <w:sz w:val="20"/>
          <w:szCs w:val="20"/>
        </w:rPr>
        <w:t xml:space="preserve">che </w:t>
      </w:r>
      <w:r w:rsidR="00107C4E">
        <w:rPr>
          <w:b w:val="0"/>
          <w:bCs w:val="0"/>
          <w:color w:val="000000"/>
          <w:sz w:val="20"/>
          <w:szCs w:val="20"/>
        </w:rPr>
        <w:t>han</w:t>
      </w:r>
      <w:r>
        <w:rPr>
          <w:b w:val="0"/>
          <w:bCs w:val="0"/>
          <w:color w:val="000000"/>
          <w:sz w:val="20"/>
          <w:szCs w:val="20"/>
        </w:rPr>
        <w:t>no</w:t>
      </w:r>
      <w:r w:rsidR="00107C4E">
        <w:rPr>
          <w:b w:val="0"/>
          <w:bCs w:val="0"/>
          <w:color w:val="000000"/>
          <w:sz w:val="20"/>
          <w:szCs w:val="20"/>
        </w:rPr>
        <w:t xml:space="preserve"> registra</w:t>
      </w:r>
      <w:r>
        <w:rPr>
          <w:b w:val="0"/>
          <w:bCs w:val="0"/>
          <w:color w:val="000000"/>
          <w:sz w:val="20"/>
          <w:szCs w:val="20"/>
        </w:rPr>
        <w:t xml:space="preserve">to </w:t>
      </w:r>
      <w:r w:rsidR="00107C4E">
        <w:rPr>
          <w:b w:val="0"/>
          <w:bCs w:val="0"/>
          <w:color w:val="000000"/>
          <w:sz w:val="20"/>
          <w:szCs w:val="20"/>
        </w:rPr>
        <w:t>un</w:t>
      </w:r>
      <w:r>
        <w:rPr>
          <w:color w:val="000000"/>
          <w:sz w:val="20"/>
          <w:szCs w:val="20"/>
        </w:rPr>
        <w:t xml:space="preserve"> calo mensile del 2</w:t>
      </w:r>
      <w:r w:rsidR="00107C4E">
        <w:rPr>
          <w:color w:val="000000"/>
          <w:sz w:val="20"/>
          <w:szCs w:val="20"/>
        </w:rPr>
        <w:t>2,6,%</w:t>
      </w:r>
      <w:r>
        <w:rPr>
          <w:b w:val="0"/>
          <w:bCs w:val="0"/>
          <w:color w:val="000000"/>
          <w:sz w:val="20"/>
          <w:szCs w:val="20"/>
        </w:rPr>
        <w:t>, evidenziando</w:t>
      </w:r>
      <w:r w:rsidR="00107C4E">
        <w:rPr>
          <w:b w:val="0"/>
          <w:bCs w:val="0"/>
          <w:color w:val="000000"/>
          <w:sz w:val="20"/>
          <w:szCs w:val="20"/>
        </w:rPr>
        <w:t xml:space="preserve"> </w:t>
      </w:r>
      <w:r w:rsidRPr="00525A96">
        <w:rPr>
          <w:b w:val="0"/>
          <w:color w:val="000000"/>
          <w:sz w:val="20"/>
          <w:szCs w:val="20"/>
        </w:rPr>
        <w:t>un</w:t>
      </w:r>
      <w:r w:rsidR="00107C4E" w:rsidRPr="00525A96">
        <w:rPr>
          <w:b w:val="0"/>
          <w:color w:val="000000"/>
          <w:sz w:val="20"/>
          <w:szCs w:val="20"/>
        </w:rPr>
        <w:t xml:space="preserve"> </w:t>
      </w:r>
      <w:r w:rsidR="00107C4E">
        <w:rPr>
          <w:color w:val="000000"/>
          <w:sz w:val="20"/>
          <w:szCs w:val="20"/>
        </w:rPr>
        <w:t>tasso un</w:t>
      </w:r>
      <w:r w:rsidR="00107C4E">
        <w:rPr>
          <w:color w:val="000000"/>
          <w:sz w:val="20"/>
          <w:szCs w:val="20"/>
        </w:rPr>
        <w:t>i</w:t>
      </w:r>
      <w:r w:rsidR="00107C4E">
        <w:rPr>
          <w:color w:val="000000"/>
          <w:sz w:val="20"/>
          <w:szCs w:val="20"/>
        </w:rPr>
        <w:t>tario di sostitu</w:t>
      </w:r>
      <w:r>
        <w:rPr>
          <w:color w:val="000000"/>
          <w:sz w:val="20"/>
          <w:szCs w:val="20"/>
        </w:rPr>
        <w:t xml:space="preserve">zione </w:t>
      </w:r>
      <w:r w:rsidR="00107C4E">
        <w:rPr>
          <w:color w:val="000000"/>
          <w:sz w:val="20"/>
          <w:szCs w:val="20"/>
        </w:rPr>
        <w:t>pa</w:t>
      </w:r>
      <w:r>
        <w:rPr>
          <w:color w:val="000000"/>
          <w:sz w:val="20"/>
          <w:szCs w:val="20"/>
        </w:rPr>
        <w:t>ri a 0,73</w:t>
      </w:r>
      <w:r w:rsidR="00107C4E">
        <w:rPr>
          <w:color w:val="000000"/>
          <w:sz w:val="20"/>
          <w:szCs w:val="20"/>
        </w:rPr>
        <w:t xml:space="preserve"> nel me</w:t>
      </w:r>
      <w:r>
        <w:rPr>
          <w:color w:val="000000"/>
          <w:sz w:val="20"/>
          <w:szCs w:val="20"/>
        </w:rPr>
        <w:t>se di ottobre</w:t>
      </w:r>
      <w:r w:rsidR="00107C4E">
        <w:rPr>
          <w:color w:val="000000"/>
          <w:sz w:val="20"/>
          <w:szCs w:val="20"/>
        </w:rPr>
        <w:t xml:space="preserve"> (ogni 100 auto nuove ne sono state radia</w:t>
      </w:r>
      <w:r>
        <w:rPr>
          <w:color w:val="000000"/>
          <w:sz w:val="20"/>
          <w:szCs w:val="20"/>
        </w:rPr>
        <w:t>te 73) e a 0,81 nei primi dieci mesi del</w:t>
      </w:r>
      <w:r w:rsidR="00107C4E">
        <w:rPr>
          <w:color w:val="000000"/>
          <w:sz w:val="20"/>
          <w:szCs w:val="20"/>
        </w:rPr>
        <w:t xml:space="preserve"> 2022. </w:t>
      </w:r>
      <w:r w:rsidR="00107C4E">
        <w:rPr>
          <w:b w:val="0"/>
          <w:bCs w:val="0"/>
          <w:color w:val="000000"/>
          <w:sz w:val="20"/>
          <w:szCs w:val="20"/>
        </w:rPr>
        <w:t xml:space="preserve">In terreno negativo anche le </w:t>
      </w:r>
      <w:r w:rsidR="00107C4E">
        <w:rPr>
          <w:color w:val="000000"/>
          <w:sz w:val="20"/>
          <w:szCs w:val="20"/>
        </w:rPr>
        <w:t>radiazioni di motocicli</w:t>
      </w:r>
      <w:r w:rsidR="00107C4E">
        <w:rPr>
          <w:b w:val="0"/>
          <w:bCs w:val="0"/>
          <w:color w:val="000000"/>
          <w:sz w:val="20"/>
          <w:szCs w:val="20"/>
        </w:rPr>
        <w:t xml:space="preserve">, che </w:t>
      </w:r>
      <w:r>
        <w:rPr>
          <w:b w:val="0"/>
          <w:bCs w:val="0"/>
          <w:color w:val="000000"/>
          <w:sz w:val="20"/>
          <w:szCs w:val="20"/>
        </w:rPr>
        <w:t xml:space="preserve">ad ottobre </w:t>
      </w:r>
      <w:r w:rsidR="00107C4E">
        <w:rPr>
          <w:b w:val="0"/>
          <w:bCs w:val="0"/>
          <w:color w:val="000000"/>
          <w:sz w:val="20"/>
          <w:szCs w:val="20"/>
        </w:rPr>
        <w:t>hanno accus</w:t>
      </w:r>
      <w:r w:rsidR="00107C4E">
        <w:rPr>
          <w:b w:val="0"/>
          <w:bCs w:val="0"/>
          <w:color w:val="000000"/>
          <w:sz w:val="20"/>
          <w:szCs w:val="20"/>
        </w:rPr>
        <w:t>a</w:t>
      </w:r>
      <w:r w:rsidR="00107C4E">
        <w:rPr>
          <w:b w:val="0"/>
          <w:bCs w:val="0"/>
          <w:color w:val="000000"/>
          <w:sz w:val="20"/>
          <w:szCs w:val="20"/>
        </w:rPr>
        <w:t xml:space="preserve">to un </w:t>
      </w:r>
      <w:r w:rsidR="00107C4E"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cremento </w:t>
      </w:r>
      <w:r w:rsidR="00107C4E">
        <w:rPr>
          <w:color w:val="000000"/>
          <w:sz w:val="20"/>
          <w:szCs w:val="20"/>
        </w:rPr>
        <w:t>del</w:t>
      </w:r>
      <w:r>
        <w:rPr>
          <w:color w:val="000000"/>
          <w:sz w:val="20"/>
          <w:szCs w:val="20"/>
        </w:rPr>
        <w:t>l’1,9</w:t>
      </w:r>
      <w:r w:rsidR="00107C4E">
        <w:rPr>
          <w:color w:val="000000"/>
          <w:sz w:val="20"/>
          <w:szCs w:val="20"/>
        </w:rPr>
        <w:t>%</w:t>
      </w:r>
      <w:r w:rsidR="00107C4E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>rispetto all’analogo mese del 2021</w:t>
      </w:r>
      <w:r w:rsidR="00107C4E">
        <w:rPr>
          <w:b w:val="0"/>
          <w:bCs w:val="0"/>
          <w:color w:val="000000"/>
          <w:sz w:val="20"/>
          <w:szCs w:val="20"/>
        </w:rPr>
        <w:t xml:space="preserve">. </w:t>
      </w:r>
    </w:p>
    <w:p w:rsidR="00AF3C84" w:rsidRDefault="00AF3C84" w:rsidP="00D0266E">
      <w:pPr>
        <w:spacing w:line="276" w:lineRule="auto"/>
        <w:jc w:val="both"/>
        <w:rPr>
          <w:sz w:val="20"/>
          <w:szCs w:val="20"/>
        </w:rPr>
      </w:pPr>
    </w:p>
    <w:p w:rsidR="00AF3C84" w:rsidRDefault="00525A96" w:rsidP="00D0266E">
      <w:pPr>
        <w:pStyle w:val="Pidipagina"/>
        <w:tabs>
          <w:tab w:val="clear" w:pos="4819"/>
          <w:tab w:val="clear" w:pos="9638"/>
          <w:tab w:val="left" w:pos="8805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Nei primi dieci mesi</w:t>
      </w:r>
      <w:r w:rsidR="00107C4E">
        <w:rPr>
          <w:rFonts w:ascii="Cambria" w:hAnsi="Cambria"/>
          <w:sz w:val="20"/>
          <w:szCs w:val="20"/>
        </w:rPr>
        <w:t xml:space="preserve"> del 2022 rispetto allo stesso</w:t>
      </w:r>
      <w:r>
        <w:rPr>
          <w:rFonts w:ascii="Cambria" w:hAnsi="Cambria"/>
          <w:sz w:val="20"/>
          <w:szCs w:val="20"/>
        </w:rPr>
        <w:t xml:space="preserve"> periodo del 2021 le radiazioni sono complessivamente diminuite  del 29,7</w:t>
      </w:r>
      <w:r w:rsidR="00107C4E">
        <w:rPr>
          <w:rFonts w:ascii="Cambria" w:hAnsi="Cambria"/>
          <w:sz w:val="20"/>
          <w:szCs w:val="20"/>
        </w:rPr>
        <w:t>% per le autovettu</w:t>
      </w:r>
      <w:r>
        <w:rPr>
          <w:rFonts w:ascii="Cambria" w:hAnsi="Cambria"/>
          <w:sz w:val="20"/>
          <w:szCs w:val="20"/>
        </w:rPr>
        <w:t>re, del 3,1% per i motocicli e del 27,2</w:t>
      </w:r>
      <w:r w:rsidR="00107C4E">
        <w:rPr>
          <w:rFonts w:ascii="Cambria" w:hAnsi="Cambria"/>
          <w:sz w:val="20"/>
          <w:szCs w:val="20"/>
        </w:rPr>
        <w:t>% per tutti i veicoli.</w:t>
      </w:r>
    </w:p>
    <w:p w:rsidR="00AF3C84" w:rsidRDefault="00AF3C84" w:rsidP="009C696C">
      <w:pPr>
        <w:spacing w:line="276" w:lineRule="auto"/>
      </w:pPr>
    </w:p>
    <w:p w:rsidR="00AF3C84" w:rsidRDefault="00AF3C84" w:rsidP="009C696C">
      <w:pPr>
        <w:spacing w:line="276" w:lineRule="auto"/>
      </w:pPr>
    </w:p>
    <w:p w:rsidR="00AF3C84" w:rsidRDefault="00AF3C84" w:rsidP="009C696C">
      <w:pPr>
        <w:spacing w:line="276" w:lineRule="auto"/>
      </w:pPr>
    </w:p>
    <w:p w:rsidR="00AF3C84" w:rsidRDefault="00AF3C84" w:rsidP="009C696C">
      <w:pPr>
        <w:spacing w:line="276" w:lineRule="auto"/>
        <w:jc w:val="left"/>
      </w:pPr>
    </w:p>
    <w:p w:rsidR="00525A96" w:rsidRDefault="00525A96" w:rsidP="009C696C">
      <w:pPr>
        <w:spacing w:line="276" w:lineRule="auto"/>
        <w:jc w:val="left"/>
      </w:pPr>
    </w:p>
    <w:p w:rsidR="009C696C" w:rsidRDefault="009C696C" w:rsidP="009C696C">
      <w:pPr>
        <w:spacing w:line="276" w:lineRule="auto"/>
        <w:jc w:val="left"/>
      </w:pPr>
    </w:p>
    <w:p w:rsidR="009C696C" w:rsidRDefault="009C696C" w:rsidP="009C696C">
      <w:pPr>
        <w:spacing w:line="276" w:lineRule="auto"/>
        <w:jc w:val="left"/>
      </w:pPr>
    </w:p>
    <w:p w:rsidR="009C696C" w:rsidRDefault="009C696C" w:rsidP="009C696C">
      <w:pPr>
        <w:spacing w:line="276" w:lineRule="auto"/>
        <w:jc w:val="left"/>
      </w:pPr>
    </w:p>
    <w:p w:rsidR="00AF3C84" w:rsidRDefault="00AF3C84" w:rsidP="009C696C">
      <w:pPr>
        <w:spacing w:line="276" w:lineRule="auto"/>
        <w:jc w:val="both"/>
      </w:pPr>
    </w:p>
    <w:p w:rsidR="00AF3C84" w:rsidRDefault="00AF3C84" w:rsidP="009C696C">
      <w:pPr>
        <w:spacing w:line="360" w:lineRule="auto"/>
      </w:pPr>
    </w:p>
    <w:p w:rsidR="00AF3C84" w:rsidRDefault="00107C4E" w:rsidP="009C696C">
      <w:pPr>
        <w:spacing w:line="360" w:lineRule="auto"/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</w:rPr>
        <w:t xml:space="preserve">  </w:t>
      </w:r>
      <w:r w:rsidR="007628C3">
        <w:rPr>
          <w:rFonts w:eastAsia="Arial Unicode MS" w:cs="Arial Unicode MS"/>
          <w:color w:val="800000"/>
          <w:sz w:val="22"/>
          <w:szCs w:val="22"/>
          <w:u w:color="800000"/>
        </w:rPr>
        <w:t>RADIAZIONI E USATO AD OTTOBRE</w:t>
      </w:r>
    </w:p>
    <w:p w:rsidR="00AF3C84" w:rsidRDefault="00AF3C84" w:rsidP="009C696C">
      <w:pPr>
        <w:spacing w:line="360" w:lineRule="auto"/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705" w:type="dxa"/>
        <w:jc w:val="center"/>
        <w:tblInd w:w="3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83"/>
        <w:gridCol w:w="1439"/>
        <w:gridCol w:w="1440"/>
        <w:gridCol w:w="1032"/>
        <w:gridCol w:w="1440"/>
        <w:gridCol w:w="1440"/>
        <w:gridCol w:w="1031"/>
      </w:tblGrid>
      <w:tr w:rsidR="00AF3C84">
        <w:trPr>
          <w:trHeight w:val="302"/>
          <w:jc w:val="center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AF3C84" w:rsidP="009C696C">
            <w:pPr>
              <w:spacing w:line="360" w:lineRule="auto"/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 xml:space="preserve">PASSAGGI </w:t>
            </w:r>
            <w:proofErr w:type="spellStart"/>
            <w:r>
              <w:rPr>
                <w:color w:val="000099"/>
                <w:sz w:val="20"/>
                <w:szCs w:val="20"/>
                <w:u w:color="000099"/>
              </w:rPr>
              <w:t>DI</w:t>
            </w:r>
            <w:proofErr w:type="spellEnd"/>
            <w:r>
              <w:rPr>
                <w:color w:val="000099"/>
                <w:sz w:val="20"/>
                <w:szCs w:val="20"/>
                <w:u w:color="000099"/>
              </w:rPr>
              <w:t xml:space="preserve"> PROPRIETA’ (*)</w:t>
            </w:r>
          </w:p>
        </w:tc>
      </w:tr>
      <w:tr w:rsidR="00AF3C84">
        <w:trPr>
          <w:trHeight w:val="312"/>
          <w:jc w:val="center"/>
        </w:trPr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AF3C84" w:rsidP="009C696C">
            <w:pPr>
              <w:spacing w:line="360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</w:rPr>
              <w:t xml:space="preserve"> OTT</w:t>
            </w:r>
            <w:r w:rsidR="00107C4E">
              <w:rPr>
                <w:sz w:val="20"/>
                <w:szCs w:val="20"/>
                <w:u w:color="011892"/>
              </w:rPr>
              <w:t xml:space="preserve"> ’21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</w:rPr>
              <w:t>OTT</w:t>
            </w:r>
            <w:r w:rsidR="00107C4E">
              <w:rPr>
                <w:sz w:val="20"/>
                <w:szCs w:val="20"/>
                <w:u w:color="011892"/>
              </w:rPr>
              <w:t xml:space="preserve"> ’22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</w:rPr>
              <w:t xml:space="preserve"> OTT</w:t>
            </w:r>
            <w:r w:rsidR="00107C4E">
              <w:rPr>
                <w:sz w:val="20"/>
                <w:szCs w:val="20"/>
                <w:u w:color="011892"/>
              </w:rPr>
              <w:t xml:space="preserve"> ’21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</w:rPr>
              <w:t>OTT</w:t>
            </w:r>
            <w:r w:rsidR="00107C4E">
              <w:rPr>
                <w:sz w:val="20"/>
                <w:szCs w:val="20"/>
                <w:u w:color="011892"/>
              </w:rPr>
              <w:t xml:space="preserve"> ’22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</w:tr>
      <w:tr w:rsidR="007628C3" w:rsidTr="007628C3">
        <w:trPr>
          <w:trHeight w:val="332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8C3" w:rsidRDefault="007628C3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AUTO</w:t>
            </w:r>
          </w:p>
        </w:tc>
        <w:tc>
          <w:tcPr>
            <w:tcW w:w="14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115.120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89.075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-22,6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266.221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251.641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-5,5</w:t>
            </w:r>
          </w:p>
        </w:tc>
      </w:tr>
      <w:tr w:rsidR="007628C3" w:rsidTr="007628C3">
        <w:trPr>
          <w:trHeight w:val="332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8C3" w:rsidRDefault="007628C3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MOTO</w:t>
            </w:r>
          </w:p>
        </w:tc>
        <w:tc>
          <w:tcPr>
            <w:tcW w:w="14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9.984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9.799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-1,9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46.887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49.100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7628C3">
              <w:rPr>
                <w:rFonts w:cs="Tahoma"/>
                <w:bCs w:val="0"/>
                <w:sz w:val="22"/>
                <w:szCs w:val="22"/>
              </w:rPr>
              <w:t>4,7</w:t>
            </w:r>
          </w:p>
        </w:tc>
      </w:tr>
      <w:tr w:rsidR="007628C3" w:rsidTr="007628C3">
        <w:trPr>
          <w:trHeight w:val="332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8C3" w:rsidRDefault="007628C3" w:rsidP="009C696C">
            <w:pPr>
              <w:spacing w:line="360" w:lineRule="auto"/>
            </w:pPr>
            <w:r>
              <w:rPr>
                <w:color w:val="000099"/>
                <w:u w:color="000099"/>
              </w:rPr>
              <w:t>TUTTI I VEICOLI</w:t>
            </w:r>
          </w:p>
        </w:tc>
        <w:tc>
          <w:tcPr>
            <w:tcW w:w="14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136.468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108.621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-20,4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350.949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342.809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-2,3</w:t>
            </w:r>
          </w:p>
        </w:tc>
      </w:tr>
    </w:tbl>
    <w:p w:rsidR="00AF3C84" w:rsidRDefault="00AF3C84" w:rsidP="009C696C">
      <w:pPr>
        <w:widowControl w:val="0"/>
        <w:spacing w:line="360" w:lineRule="auto"/>
        <w:ind w:left="217" w:hanging="217"/>
        <w:rPr>
          <w:color w:val="800000"/>
          <w:sz w:val="12"/>
          <w:szCs w:val="12"/>
          <w:u w:color="800000"/>
        </w:rPr>
      </w:pPr>
    </w:p>
    <w:p w:rsidR="00AF3C84" w:rsidRDefault="00AF3C84" w:rsidP="009C696C">
      <w:pPr>
        <w:widowControl w:val="0"/>
        <w:spacing w:line="360" w:lineRule="auto"/>
        <w:ind w:left="1" w:hanging="1"/>
        <w:rPr>
          <w:color w:val="800000"/>
          <w:sz w:val="6"/>
          <w:szCs w:val="6"/>
          <w:u w:color="800000"/>
        </w:rPr>
      </w:pPr>
    </w:p>
    <w:p w:rsidR="00AF3C84" w:rsidRDefault="00107C4E" w:rsidP="009C696C">
      <w:pPr>
        <w:spacing w:line="360" w:lineRule="auto"/>
        <w:jc w:val="left"/>
        <w:rPr>
          <w:i/>
          <w:iCs/>
        </w:rPr>
      </w:pPr>
      <w:r>
        <w:t xml:space="preserve">   </w:t>
      </w:r>
      <w:r>
        <w:rPr>
          <w:i/>
          <w:iCs/>
        </w:rPr>
        <w:t>Fonte: ACI – Automobile Club d’Italia      (*) Al netto delle minivolture</w:t>
      </w:r>
    </w:p>
    <w:p w:rsidR="00AF3C84" w:rsidRDefault="00AF3C84" w:rsidP="009C696C">
      <w:pPr>
        <w:spacing w:line="360" w:lineRule="auto"/>
        <w:jc w:val="left"/>
      </w:pPr>
    </w:p>
    <w:p w:rsidR="00AF3C84" w:rsidRDefault="00AF3C84" w:rsidP="009C696C">
      <w:pPr>
        <w:spacing w:line="360" w:lineRule="auto"/>
        <w:jc w:val="left"/>
      </w:pPr>
    </w:p>
    <w:p w:rsidR="00AF3C84" w:rsidRDefault="00AF3C84" w:rsidP="009C696C">
      <w:pPr>
        <w:spacing w:line="360" w:lineRule="auto"/>
        <w:jc w:val="left"/>
      </w:pPr>
    </w:p>
    <w:p w:rsidR="00AF3C84" w:rsidRDefault="00107C4E" w:rsidP="009C696C">
      <w:pPr>
        <w:spacing w:line="360" w:lineRule="auto"/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RADIAZI</w:t>
      </w:r>
      <w:r w:rsidR="007628C3">
        <w:rPr>
          <w:rFonts w:eastAsia="Arial Unicode MS" w:cs="Arial Unicode MS"/>
          <w:color w:val="800000"/>
          <w:sz w:val="22"/>
          <w:szCs w:val="22"/>
          <w:u w:color="800000"/>
        </w:rPr>
        <w:t>ONI E USATO DA GENNAIO AD OTTOBRE</w:t>
      </w:r>
    </w:p>
    <w:p w:rsidR="00AF3C84" w:rsidRDefault="00AF3C84" w:rsidP="009C696C">
      <w:pPr>
        <w:spacing w:line="360" w:lineRule="auto"/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710" w:type="dxa"/>
        <w:jc w:val="center"/>
        <w:tblInd w:w="3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82"/>
        <w:gridCol w:w="1441"/>
        <w:gridCol w:w="1441"/>
        <w:gridCol w:w="1035"/>
        <w:gridCol w:w="1440"/>
        <w:gridCol w:w="1440"/>
        <w:gridCol w:w="1031"/>
      </w:tblGrid>
      <w:tr w:rsidR="00AF3C84">
        <w:trPr>
          <w:trHeight w:val="302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AF3C84" w:rsidP="009C696C">
            <w:pPr>
              <w:spacing w:line="360" w:lineRule="auto"/>
            </w:pP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 xml:space="preserve">PASSAGGI </w:t>
            </w:r>
            <w:proofErr w:type="spellStart"/>
            <w:r>
              <w:rPr>
                <w:color w:val="000099"/>
                <w:sz w:val="20"/>
                <w:szCs w:val="20"/>
                <w:u w:color="000099"/>
              </w:rPr>
              <w:t>DI</w:t>
            </w:r>
            <w:proofErr w:type="spellEnd"/>
            <w:r>
              <w:rPr>
                <w:color w:val="000099"/>
                <w:sz w:val="20"/>
                <w:szCs w:val="20"/>
                <w:u w:color="000099"/>
              </w:rPr>
              <w:t xml:space="preserve"> PROPRIETA’ (*)</w:t>
            </w:r>
          </w:p>
        </w:tc>
      </w:tr>
      <w:tr w:rsidR="00AF3C84">
        <w:trPr>
          <w:trHeight w:val="312"/>
          <w:jc w:val="center"/>
        </w:trPr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AF3C84" w:rsidP="009C696C">
            <w:pPr>
              <w:spacing w:line="360" w:lineRule="auto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u w:color="011892"/>
              </w:rPr>
              <w:t xml:space="preserve"> </w:t>
            </w:r>
            <w:r w:rsidR="007628C3">
              <w:rPr>
                <w:sz w:val="20"/>
                <w:szCs w:val="20"/>
                <w:u w:color="011892"/>
              </w:rPr>
              <w:t>GEN-OTT</w:t>
            </w:r>
            <w:r>
              <w:rPr>
                <w:sz w:val="20"/>
                <w:szCs w:val="20"/>
                <w:u w:color="011892"/>
              </w:rPr>
              <w:t xml:space="preserve"> ’21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</w:rPr>
              <w:t>GEN-OTT</w:t>
            </w:r>
            <w:r w:rsidR="00107C4E">
              <w:rPr>
                <w:sz w:val="20"/>
                <w:szCs w:val="20"/>
                <w:u w:color="011892"/>
              </w:rPr>
              <w:t xml:space="preserve"> ’22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u w:color="011892"/>
              </w:rPr>
              <w:t xml:space="preserve"> </w:t>
            </w:r>
            <w:r w:rsidR="007628C3">
              <w:rPr>
                <w:sz w:val="20"/>
                <w:szCs w:val="20"/>
                <w:u w:color="011892"/>
              </w:rPr>
              <w:t>GEN-OTT</w:t>
            </w:r>
            <w:r>
              <w:rPr>
                <w:sz w:val="20"/>
                <w:szCs w:val="20"/>
                <w:u w:color="011892"/>
              </w:rPr>
              <w:t xml:space="preserve"> ’21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</w:rPr>
              <w:t>GEN-OTT</w:t>
            </w:r>
            <w:r w:rsidR="00107C4E">
              <w:rPr>
                <w:sz w:val="20"/>
                <w:szCs w:val="20"/>
                <w:u w:color="011892"/>
              </w:rPr>
              <w:t xml:space="preserve"> ’22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 w:rsidP="009C696C">
            <w:pPr>
              <w:spacing w:line="360" w:lineRule="auto"/>
            </w:pPr>
            <w:r>
              <w:rPr>
                <w:sz w:val="20"/>
                <w:szCs w:val="20"/>
                <w:u w:color="011892"/>
                <w:lang w:val="en-US"/>
              </w:rPr>
              <w:t>Var. %</w:t>
            </w:r>
          </w:p>
        </w:tc>
      </w:tr>
      <w:tr w:rsidR="007628C3" w:rsidTr="007628C3">
        <w:trPr>
          <w:trHeight w:val="332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8C3" w:rsidRDefault="007628C3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AUTO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1.263.540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888.644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-29,7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2.539.759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2.261.418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-11,0</w:t>
            </w:r>
          </w:p>
        </w:tc>
      </w:tr>
      <w:tr w:rsidR="007628C3" w:rsidTr="007628C3">
        <w:trPr>
          <w:trHeight w:val="332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8C3" w:rsidRDefault="007628C3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MOTO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99.788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96.718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-3,1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577.974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544.171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-5,8</w:t>
            </w:r>
          </w:p>
        </w:tc>
      </w:tr>
      <w:tr w:rsidR="007628C3" w:rsidTr="007628C3">
        <w:trPr>
          <w:trHeight w:val="332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8C3" w:rsidRDefault="007628C3" w:rsidP="009C696C">
            <w:pPr>
              <w:spacing w:line="360" w:lineRule="auto"/>
            </w:pPr>
            <w:r>
              <w:rPr>
                <w:color w:val="000099"/>
                <w:sz w:val="20"/>
                <w:szCs w:val="20"/>
                <w:u w:color="000099"/>
              </w:rPr>
              <w:t>TUTTI I VEICOLI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1.485.878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1.081.740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-27,2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3.496.871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b w:val="0"/>
                <w:color w:val="000000"/>
                <w:sz w:val="22"/>
                <w:szCs w:val="22"/>
              </w:rPr>
            </w:pPr>
            <w:r w:rsidRPr="007628C3">
              <w:rPr>
                <w:rFonts w:cs="Tahoma"/>
                <w:b w:val="0"/>
                <w:color w:val="000000"/>
                <w:sz w:val="22"/>
                <w:szCs w:val="22"/>
              </w:rPr>
              <w:t>3.184.596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7628C3" w:rsidRPr="007628C3" w:rsidRDefault="007628C3" w:rsidP="009C696C">
            <w:pPr>
              <w:spacing w:line="360" w:lineRule="auto"/>
              <w:rPr>
                <w:rFonts w:cs="Tahoma"/>
                <w:color w:val="FF0000"/>
                <w:sz w:val="22"/>
                <w:szCs w:val="22"/>
              </w:rPr>
            </w:pPr>
            <w:r w:rsidRPr="007628C3">
              <w:rPr>
                <w:rFonts w:cs="Tahoma"/>
                <w:bCs w:val="0"/>
                <w:color w:val="FF0000"/>
                <w:sz w:val="22"/>
                <w:szCs w:val="22"/>
              </w:rPr>
              <w:t>-8,9</w:t>
            </w:r>
          </w:p>
        </w:tc>
      </w:tr>
    </w:tbl>
    <w:p w:rsidR="00AF3C84" w:rsidRDefault="00AF3C84" w:rsidP="009C696C">
      <w:pPr>
        <w:widowControl w:val="0"/>
        <w:spacing w:line="360" w:lineRule="auto"/>
        <w:ind w:left="217" w:hanging="217"/>
        <w:rPr>
          <w:color w:val="800000"/>
          <w:sz w:val="12"/>
          <w:szCs w:val="12"/>
          <w:u w:color="800000"/>
        </w:rPr>
      </w:pPr>
    </w:p>
    <w:p w:rsidR="00AF3C84" w:rsidRDefault="00AF3C84" w:rsidP="009C696C">
      <w:pPr>
        <w:widowControl w:val="0"/>
        <w:spacing w:line="360" w:lineRule="auto"/>
        <w:ind w:left="1" w:hanging="1"/>
        <w:rPr>
          <w:color w:val="800000"/>
          <w:sz w:val="6"/>
          <w:szCs w:val="6"/>
          <w:u w:color="800000"/>
        </w:rPr>
      </w:pPr>
    </w:p>
    <w:p w:rsidR="00AF3C84" w:rsidRDefault="00107C4E" w:rsidP="009C696C">
      <w:pPr>
        <w:spacing w:line="360" w:lineRule="auto"/>
        <w:jc w:val="left"/>
      </w:pPr>
      <w:r>
        <w:t xml:space="preserve">   </w:t>
      </w:r>
      <w:r>
        <w:rPr>
          <w:i/>
          <w:iCs/>
        </w:rPr>
        <w:t>Fonte: ACI – Automobile Club d’Italia      (*) Al netto delle minivolture</w:t>
      </w:r>
    </w:p>
    <w:p w:rsidR="00AF3C84" w:rsidRDefault="00AF3C84">
      <w:pPr>
        <w:jc w:val="left"/>
      </w:pPr>
    </w:p>
    <w:p w:rsidR="00AF3C84" w:rsidRDefault="00AF3C84">
      <w:pPr>
        <w:jc w:val="left"/>
      </w:pPr>
    </w:p>
    <w:p w:rsidR="00AF3C84" w:rsidRDefault="00AF3C84">
      <w:pPr>
        <w:jc w:val="left"/>
      </w:pPr>
    </w:p>
    <w:p w:rsidR="00AF3C84" w:rsidRDefault="00AF3C84">
      <w:pPr>
        <w:jc w:val="left"/>
      </w:pPr>
    </w:p>
    <w:p w:rsidR="00AF3C84" w:rsidRDefault="00AF3C84">
      <w:pPr>
        <w:jc w:val="left"/>
      </w:pPr>
    </w:p>
    <w:p w:rsidR="00AF3C84" w:rsidRDefault="00107C4E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sz w:val="22"/>
          <w:szCs w:val="22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2022: RADIAZIONI AUTOVETTURE SECONDO LA CLASSE EURO (Val. %)</w:t>
      </w:r>
    </w:p>
    <w:p w:rsidR="00AF3C84" w:rsidRDefault="00AF3C84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658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0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90"/>
      </w:tblGrid>
      <w:tr w:rsidR="00AF3C84" w:rsidTr="00737332">
        <w:trPr>
          <w:trHeight w:hRule="exact" w:val="451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AF3C84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GEN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FEB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MAR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APR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MAG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GIU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LUG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AGO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SET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OTT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NOV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DIC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99"/>
                <w:sz w:val="16"/>
                <w:szCs w:val="16"/>
                <w:u w:color="000099"/>
              </w:rPr>
              <w:t>TOTALE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20"/>
                <w:szCs w:val="20"/>
                <w:u w:color="000099"/>
              </w:rPr>
              <w:t>EURO 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0,9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1,0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20"/>
                <w:szCs w:val="20"/>
                <w:u w:color="000099"/>
              </w:rPr>
              <w:t>EURO 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2,2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20"/>
                <w:szCs w:val="20"/>
                <w:u w:color="000099"/>
              </w:rPr>
              <w:t>EURO 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19,1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18,1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16,3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17,0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17,4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17,5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FA633C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17,3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FA633C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17,8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20"/>
                <w:szCs w:val="20"/>
                <w:u w:color="000099"/>
              </w:rPr>
              <w:t>EURO 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27,2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26,5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26,1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26,0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25,6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25,3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25,6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25,3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25,3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25,8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20"/>
                <w:szCs w:val="20"/>
                <w:u w:color="000099"/>
              </w:rPr>
              <w:t>EURO 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35,0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33,8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32,6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37,3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34,2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34,7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34,4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20"/>
                <w:szCs w:val="20"/>
                <w:u w:color="000099"/>
              </w:rPr>
              <w:t>EURO 5-6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13,2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16,5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17,3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15,4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17,5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16,9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15,6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16,1</w:t>
            </w:r>
          </w:p>
        </w:tc>
      </w:tr>
      <w:tr w:rsidR="00737332" w:rsidTr="00737332">
        <w:trPr>
          <w:trHeight w:hRule="exact" w:val="360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332" w:rsidRDefault="00737332">
            <w:r>
              <w:rPr>
                <w:color w:val="000099"/>
                <w:sz w:val="16"/>
                <w:szCs w:val="16"/>
                <w:u w:color="000099"/>
              </w:rPr>
              <w:t xml:space="preserve">Non identificato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3,8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b w:val="0"/>
                <w:color w:val="auto"/>
                <w:sz w:val="20"/>
                <w:szCs w:val="20"/>
              </w:rPr>
              <w:t>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7332" w:rsidRPr="00FA633C" w:rsidRDefault="00737332" w:rsidP="00737332">
            <w:pPr>
              <w:rPr>
                <w:rFonts w:cs="Arial"/>
                <w:color w:val="auto"/>
                <w:sz w:val="20"/>
                <w:szCs w:val="20"/>
              </w:rPr>
            </w:pPr>
            <w:r w:rsidRPr="00FA633C">
              <w:rPr>
                <w:rFonts w:cs="Arial"/>
                <w:color w:val="auto"/>
                <w:sz w:val="20"/>
                <w:szCs w:val="20"/>
              </w:rPr>
              <w:t>2,7</w:t>
            </w:r>
          </w:p>
        </w:tc>
      </w:tr>
    </w:tbl>
    <w:p w:rsidR="00AF3C84" w:rsidRDefault="00AF3C84">
      <w:pPr>
        <w:widowControl w:val="0"/>
        <w:ind w:left="216" w:hanging="216"/>
        <w:rPr>
          <w:color w:val="800000"/>
          <w:sz w:val="12"/>
          <w:szCs w:val="12"/>
          <w:u w:color="800000"/>
        </w:rPr>
      </w:pPr>
    </w:p>
    <w:p w:rsidR="00AF3C84" w:rsidRDefault="00AF3C84">
      <w:pPr>
        <w:rPr>
          <w:color w:val="800000"/>
          <w:sz w:val="6"/>
          <w:szCs w:val="6"/>
          <w:u w:color="800000"/>
        </w:rPr>
      </w:pPr>
    </w:p>
    <w:p w:rsidR="00AF3C84" w:rsidRDefault="00107C4E">
      <w:pPr>
        <w:jc w:val="left"/>
        <w:rPr>
          <w:i/>
          <w:iCs/>
        </w:rPr>
      </w:pPr>
      <w:r>
        <w:rPr>
          <w:color w:val="800000"/>
          <w:u w:color="800000"/>
        </w:rPr>
        <w:t xml:space="preserve">   </w:t>
      </w:r>
      <w:r>
        <w:rPr>
          <w:i/>
          <w:iCs/>
        </w:rPr>
        <w:t>Fonte: ACI – Automobile Club d’Italia</w:t>
      </w:r>
    </w:p>
    <w:p w:rsidR="00AF3C84" w:rsidRDefault="00AF3C84">
      <w:pPr>
        <w:rPr>
          <w:i/>
          <w:iCs/>
          <w:sz w:val="20"/>
          <w:szCs w:val="20"/>
        </w:rPr>
      </w:pPr>
    </w:p>
    <w:p w:rsidR="00AF3C84" w:rsidRDefault="00AF3C84" w:rsidP="00CE2668">
      <w:pPr>
        <w:jc w:val="both"/>
      </w:pPr>
    </w:p>
    <w:p w:rsidR="00AF3C84" w:rsidRDefault="00107C4E">
      <w:pPr>
        <w:rPr>
          <w:color w:val="800000"/>
          <w:sz w:val="22"/>
          <w:szCs w:val="22"/>
          <w:u w:color="800000"/>
        </w:rPr>
      </w:pPr>
      <w:r>
        <w:rPr>
          <w:rFonts w:eastAsia="Arial Unicode MS" w:cs="Arial Unicode MS"/>
          <w:sz w:val="22"/>
          <w:szCs w:val="22"/>
        </w:rPr>
        <w:t xml:space="preserve">   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>PASSAGGI AUTOVETTURE PER ALIMENTAZIONE</w:t>
      </w:r>
    </w:p>
    <w:p w:rsidR="00AF3C84" w:rsidRDefault="00AF3C84">
      <w:pPr>
        <w:rPr>
          <w:sz w:val="12"/>
          <w:szCs w:val="12"/>
        </w:rPr>
      </w:pPr>
    </w:p>
    <w:tbl>
      <w:tblPr>
        <w:tblStyle w:val="TableNormal"/>
        <w:tblW w:w="989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4"/>
        <w:gridCol w:w="1339"/>
        <w:gridCol w:w="1339"/>
        <w:gridCol w:w="1015"/>
        <w:gridCol w:w="1351"/>
        <w:gridCol w:w="1342"/>
        <w:gridCol w:w="1014"/>
      </w:tblGrid>
      <w:tr w:rsidR="00AF3C84" w:rsidTr="007628C3">
        <w:trPr>
          <w:trHeight w:val="312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AF3C84"/>
        </w:tc>
        <w:tc>
          <w:tcPr>
            <w:tcW w:w="6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C84" w:rsidRDefault="00107C4E">
            <w:r>
              <w:rPr>
                <w:rFonts w:ascii="Arial" w:hAnsi="Arial"/>
                <w:sz w:val="20"/>
                <w:szCs w:val="20"/>
                <w:u w:color="011892"/>
              </w:rPr>
              <w:t xml:space="preserve">QUOTA </w:t>
            </w:r>
            <w:proofErr w:type="spellStart"/>
            <w:r>
              <w:rPr>
                <w:rFonts w:ascii="Arial" w:hAnsi="Arial"/>
                <w:sz w:val="20"/>
                <w:szCs w:val="20"/>
                <w:u w:color="011892"/>
              </w:rPr>
              <w:t>DI</w:t>
            </w:r>
            <w:proofErr w:type="spellEnd"/>
            <w:r>
              <w:rPr>
                <w:rFonts w:ascii="Arial" w:hAnsi="Arial"/>
                <w:sz w:val="20"/>
                <w:szCs w:val="20"/>
                <w:u w:color="011892"/>
              </w:rPr>
              <w:t xml:space="preserve"> MERCATO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C84" w:rsidRDefault="00AF3C84"/>
        </w:tc>
      </w:tr>
      <w:tr w:rsidR="00AF3C84" w:rsidTr="007628C3">
        <w:trPr>
          <w:trHeight w:val="52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AF3C84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>
            <w:r>
              <w:rPr>
                <w:sz w:val="20"/>
                <w:szCs w:val="20"/>
                <w:u w:color="011892"/>
              </w:rPr>
              <w:t>OTT</w:t>
            </w:r>
            <w:r w:rsidR="00107C4E">
              <w:rPr>
                <w:sz w:val="20"/>
                <w:szCs w:val="20"/>
                <w:u w:color="011892"/>
              </w:rPr>
              <w:t xml:space="preserve"> ’21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>
            <w:r>
              <w:rPr>
                <w:sz w:val="20"/>
                <w:szCs w:val="20"/>
                <w:u w:color="011892"/>
              </w:rPr>
              <w:t>OTT</w:t>
            </w:r>
            <w:r w:rsidR="00107C4E">
              <w:rPr>
                <w:sz w:val="20"/>
                <w:szCs w:val="20"/>
                <w:u w:color="011892"/>
              </w:rPr>
              <w:t xml:space="preserve"> 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pPr>
              <w:pStyle w:val="Nessunaspaziatura"/>
            </w:pPr>
            <w:r>
              <w:rPr>
                <w:sz w:val="20"/>
                <w:szCs w:val="20"/>
                <w:u w:color="011892"/>
              </w:rPr>
              <w:t>Var. %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 w:rsidP="007628C3">
            <w:r>
              <w:rPr>
                <w:sz w:val="20"/>
                <w:szCs w:val="20"/>
                <w:u w:color="011892"/>
              </w:rPr>
              <w:t>GEN-OTT</w:t>
            </w:r>
            <w:r w:rsidR="00107C4E">
              <w:rPr>
                <w:sz w:val="20"/>
                <w:szCs w:val="20"/>
                <w:u w:color="011892"/>
              </w:rPr>
              <w:t xml:space="preserve"> ’21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7628C3">
            <w:r>
              <w:rPr>
                <w:sz w:val="20"/>
                <w:szCs w:val="20"/>
                <w:u w:color="011892"/>
              </w:rPr>
              <w:t>GEN-OTT</w:t>
            </w:r>
            <w:r w:rsidR="00107C4E">
              <w:rPr>
                <w:sz w:val="20"/>
                <w:szCs w:val="20"/>
                <w:u w:color="011892"/>
              </w:rPr>
              <w:t xml:space="preserve"> ’22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sz w:val="20"/>
                <w:szCs w:val="20"/>
                <w:u w:color="011892"/>
              </w:rPr>
              <w:t>Var. %</w:t>
            </w:r>
          </w:p>
        </w:tc>
      </w:tr>
      <w:tr w:rsidR="00AF3C84" w:rsidTr="007628C3">
        <w:trPr>
          <w:trHeight w:val="32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 </w:t>
            </w:r>
          </w:p>
        </w:tc>
        <w:tc>
          <w:tcPr>
            <w:tcW w:w="6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4"/>
                <w:szCs w:val="24"/>
                <w:u w:color="000099"/>
              </w:rPr>
              <w:t>PASSAGGI AL NETTO MINIVOLTURE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AF3C84"/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</w:rPr>
              <w:t xml:space="preserve">BENZINA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39,9%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37,0%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37,7%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FF0000"/>
                <w:sz w:val="22"/>
                <w:szCs w:val="22"/>
              </w:rPr>
            </w:pPr>
            <w:r w:rsidRPr="007628C3">
              <w:rPr>
                <w:color w:val="FF0000"/>
                <w:sz w:val="22"/>
                <w:szCs w:val="22"/>
              </w:rPr>
              <w:t>-9,4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</w:rPr>
              <w:t>DIESEL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48,1%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45,3%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FF0000"/>
                <w:sz w:val="22"/>
                <w:szCs w:val="22"/>
              </w:rPr>
            </w:pPr>
            <w:r w:rsidRPr="007628C3">
              <w:rPr>
                <w:color w:val="FF0000"/>
                <w:sz w:val="22"/>
                <w:szCs w:val="22"/>
              </w:rPr>
              <w:t>-10,8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49,5%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47,7%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FF0000"/>
                <w:sz w:val="22"/>
                <w:szCs w:val="22"/>
              </w:rPr>
            </w:pPr>
            <w:r w:rsidRPr="007628C3">
              <w:rPr>
                <w:color w:val="FF0000"/>
                <w:sz w:val="22"/>
                <w:szCs w:val="22"/>
              </w:rPr>
              <w:t>-14,2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</w:rPr>
              <w:t>ELETTRICO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FF0000"/>
                <w:sz w:val="22"/>
                <w:szCs w:val="22"/>
              </w:rPr>
            </w:pPr>
            <w:r w:rsidRPr="007628C3">
              <w:rPr>
                <w:color w:val="FF0000"/>
                <w:sz w:val="22"/>
                <w:szCs w:val="22"/>
              </w:rPr>
              <w:t>-24,2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000000"/>
                <w:sz w:val="22"/>
                <w:szCs w:val="22"/>
              </w:rPr>
            </w:pPr>
            <w:r w:rsidRPr="007628C3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IBRIDO-BENZINA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000000"/>
                <w:sz w:val="22"/>
                <w:szCs w:val="22"/>
              </w:rPr>
            </w:pPr>
            <w:r w:rsidRPr="007628C3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000000"/>
                <w:sz w:val="22"/>
                <w:szCs w:val="22"/>
              </w:rPr>
            </w:pPr>
            <w:r w:rsidRPr="007628C3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IBRIDO-GASOLIO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000000"/>
                <w:sz w:val="22"/>
                <w:szCs w:val="22"/>
              </w:rPr>
            </w:pPr>
            <w:r w:rsidRPr="007628C3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000000"/>
                <w:sz w:val="22"/>
                <w:szCs w:val="22"/>
              </w:rPr>
            </w:pPr>
            <w:r w:rsidRPr="007628C3"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AF3C84" w:rsidTr="007628C3">
        <w:trPr>
          <w:trHeight w:val="32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3C84" w:rsidRDefault="00AF3C84"/>
        </w:tc>
        <w:tc>
          <w:tcPr>
            <w:tcW w:w="6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4"/>
                <w:szCs w:val="24"/>
                <w:u w:color="000099"/>
              </w:rPr>
              <w:t>MINIVOLTURE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AF3C84"/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</w:rPr>
              <w:t>BENZINA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29,9%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31,2%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18,2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30,3%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30,9%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FF0000"/>
                <w:sz w:val="22"/>
                <w:szCs w:val="22"/>
              </w:rPr>
            </w:pPr>
            <w:r w:rsidRPr="007628C3">
              <w:rPr>
                <w:color w:val="FF0000"/>
                <w:sz w:val="22"/>
                <w:szCs w:val="22"/>
              </w:rPr>
              <w:t>-4,5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</w:rPr>
              <w:t>DIESEL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55,5%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51,8%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5,7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56,6%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53,0%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FF0000"/>
                <w:sz w:val="22"/>
                <w:szCs w:val="22"/>
              </w:rPr>
            </w:pPr>
            <w:r w:rsidRPr="007628C3">
              <w:rPr>
                <w:color w:val="FF0000"/>
                <w:sz w:val="22"/>
                <w:szCs w:val="22"/>
              </w:rPr>
              <w:t>-12,2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</w:rPr>
              <w:t>ELETTRICO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40,5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82,2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IBRIDO-BENZINA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100,4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67,8</w:t>
            </w:r>
          </w:p>
        </w:tc>
      </w:tr>
      <w:tr w:rsidR="007628C3" w:rsidTr="007628C3">
        <w:trPr>
          <w:trHeight w:val="280"/>
          <w:jc w:val="center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628C3" w:rsidRDefault="007628C3">
            <w:r>
              <w:rPr>
                <w:color w:val="000099"/>
                <w:sz w:val="20"/>
                <w:szCs w:val="20"/>
                <w:u w:color="000099"/>
                <w:lang w:val="en-US"/>
              </w:rPr>
              <w:t>IBRIDO-GASOLIO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105,9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b w:val="0"/>
                <w:color w:val="000000"/>
                <w:sz w:val="22"/>
                <w:szCs w:val="22"/>
              </w:rPr>
            </w:pPr>
            <w:r w:rsidRPr="007628C3">
              <w:rPr>
                <w:b w:val="0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8C3" w:rsidRPr="007628C3" w:rsidRDefault="007628C3" w:rsidP="007628C3">
            <w:pPr>
              <w:rPr>
                <w:color w:val="auto"/>
                <w:sz w:val="22"/>
                <w:szCs w:val="22"/>
              </w:rPr>
            </w:pPr>
            <w:r w:rsidRPr="007628C3">
              <w:rPr>
                <w:color w:val="auto"/>
                <w:sz w:val="22"/>
                <w:szCs w:val="22"/>
              </w:rPr>
              <w:t>82,8</w:t>
            </w:r>
          </w:p>
        </w:tc>
      </w:tr>
    </w:tbl>
    <w:p w:rsidR="00AF3C84" w:rsidRDefault="00AF3C84">
      <w:pPr>
        <w:widowControl w:val="0"/>
        <w:ind w:left="216" w:hanging="216"/>
        <w:rPr>
          <w:sz w:val="12"/>
          <w:szCs w:val="12"/>
        </w:rPr>
      </w:pPr>
    </w:p>
    <w:p w:rsidR="00AF3C84" w:rsidRDefault="00AF3C84">
      <w:pPr>
        <w:widowControl w:val="0"/>
        <w:rPr>
          <w:sz w:val="6"/>
          <w:szCs w:val="6"/>
        </w:rPr>
      </w:pPr>
    </w:p>
    <w:p w:rsidR="00AF3C84" w:rsidRDefault="00107C4E">
      <w:pPr>
        <w:jc w:val="left"/>
        <w:rPr>
          <w:i/>
          <w:iCs/>
        </w:rPr>
      </w:pPr>
      <w:r>
        <w:t xml:space="preserve">            </w:t>
      </w:r>
      <w:r>
        <w:rPr>
          <w:i/>
          <w:iCs/>
        </w:rPr>
        <w:t>Fonte: ACI – Automobile Club d’Italia</w:t>
      </w:r>
    </w:p>
    <w:p w:rsidR="00AF3C84" w:rsidRDefault="00107C4E">
      <w:pPr>
        <w:jc w:val="left"/>
        <w:rPr>
          <w:i/>
          <w:iCs/>
        </w:rPr>
      </w:pPr>
      <w:r>
        <w:rPr>
          <w:i/>
          <w:iCs/>
        </w:rPr>
        <w:t xml:space="preserve">           NOTA: Le variazioni percentuali sono calcolate rispetto ai valori assoluti delle formalità non inseriti in tabella</w:t>
      </w:r>
    </w:p>
    <w:p w:rsidR="00AF3C84" w:rsidRDefault="00AF3C84">
      <w:pPr>
        <w:jc w:val="left"/>
        <w:rPr>
          <w:i/>
          <w:iCs/>
          <w:sz w:val="22"/>
          <w:szCs w:val="22"/>
        </w:rPr>
      </w:pPr>
    </w:p>
    <w:p w:rsidR="00AF3C84" w:rsidRDefault="00AF3C84">
      <w:pPr>
        <w:jc w:val="left"/>
        <w:rPr>
          <w:sz w:val="22"/>
          <w:szCs w:val="22"/>
        </w:rPr>
      </w:pPr>
    </w:p>
    <w:p w:rsidR="00AF3C84" w:rsidRDefault="00AF3C84">
      <w:pPr>
        <w:jc w:val="left"/>
        <w:rPr>
          <w:sz w:val="22"/>
          <w:szCs w:val="22"/>
        </w:rPr>
      </w:pPr>
    </w:p>
    <w:p w:rsidR="00AF3C84" w:rsidRDefault="00107C4E">
      <w:pPr>
        <w:rPr>
          <w:sz w:val="22"/>
          <w:szCs w:val="22"/>
        </w:rPr>
      </w:pPr>
      <w:r>
        <w:rPr>
          <w:rFonts w:eastAsia="Arial Unicode MS" w:cs="Arial Unicode MS"/>
          <w:color w:val="800000"/>
          <w:sz w:val="22"/>
          <w:szCs w:val="22"/>
          <w:u w:color="800000"/>
        </w:rPr>
        <w:t>AUTOVET</w:t>
      </w:r>
      <w:r w:rsidR="007628C3">
        <w:rPr>
          <w:rFonts w:eastAsia="Arial Unicode MS" w:cs="Arial Unicode MS"/>
          <w:color w:val="800000"/>
          <w:sz w:val="22"/>
          <w:szCs w:val="22"/>
          <w:u w:color="800000"/>
        </w:rPr>
        <w:t>TURE: QUADRO PROVINCIALE (Ottobre</w:t>
      </w:r>
      <w:r>
        <w:rPr>
          <w:rFonts w:eastAsia="Arial Unicode MS" w:cs="Arial Unicode MS"/>
          <w:color w:val="800000"/>
          <w:sz w:val="22"/>
          <w:szCs w:val="22"/>
          <w:u w:color="800000"/>
        </w:rPr>
        <w:t xml:space="preserve"> 2022)</w:t>
      </w:r>
    </w:p>
    <w:p w:rsidR="00AF3C84" w:rsidRDefault="00AF3C84">
      <w:pPr>
        <w:rPr>
          <w:color w:val="800000"/>
          <w:sz w:val="12"/>
          <w:szCs w:val="12"/>
          <w:u w:color="800000"/>
        </w:rPr>
      </w:pPr>
    </w:p>
    <w:tbl>
      <w:tblPr>
        <w:tblStyle w:val="TableNormal"/>
        <w:tblW w:w="9603" w:type="dxa"/>
        <w:jc w:val="center"/>
        <w:tblInd w:w="3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41"/>
        <w:gridCol w:w="1159"/>
        <w:gridCol w:w="1159"/>
        <w:gridCol w:w="1163"/>
        <w:gridCol w:w="1159"/>
        <w:gridCol w:w="1159"/>
        <w:gridCol w:w="1163"/>
      </w:tblGrid>
      <w:tr w:rsidR="00AF3C84" w:rsidTr="00FA633C">
        <w:trPr>
          <w:trHeight w:val="285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C84" w:rsidRDefault="00107C4E">
            <w:r>
              <w:rPr>
                <w:color w:val="000080"/>
                <w:sz w:val="20"/>
                <w:szCs w:val="20"/>
                <w:u w:color="000080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RADIAZIONI</w:t>
            </w:r>
          </w:p>
        </w:tc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PASSAGGI NETTI</w:t>
            </w:r>
          </w:p>
        </w:tc>
      </w:tr>
      <w:tr w:rsidR="00AF3C84" w:rsidTr="00FA633C">
        <w:trPr>
          <w:trHeight w:val="52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AF3C84">
            <w:pPr>
              <w:rPr>
                <w:color w:val="000099"/>
                <w:sz w:val="22"/>
                <w:szCs w:val="22"/>
                <w:u w:color="000099"/>
              </w:rPr>
            </w:pPr>
          </w:p>
          <w:p w:rsidR="00AF3C84" w:rsidRDefault="00107C4E">
            <w:r>
              <w:rPr>
                <w:color w:val="000099"/>
                <w:sz w:val="22"/>
                <w:szCs w:val="22"/>
                <w:u w:color="000099"/>
              </w:rPr>
              <w:t>Provincia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2022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 xml:space="preserve"> Var. %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>2022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C84" w:rsidRDefault="00107C4E">
            <w:r>
              <w:rPr>
                <w:color w:val="000099"/>
                <w:sz w:val="20"/>
                <w:szCs w:val="20"/>
                <w:u w:color="000099"/>
              </w:rPr>
              <w:t xml:space="preserve"> Var. %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AL (Alessandria)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897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690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-23,0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bookmarkStart w:id="0" w:name="RANGE!E4:E126"/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1.891</w:t>
            </w:r>
            <w:bookmarkEnd w:id="0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1.862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AT (Asti)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457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398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890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-17,0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BI (Biella)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378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-27,4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830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CN (Cuneo)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1.439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1.032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2.881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2.755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NO (Novara)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763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553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-27,5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1.648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1.498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TO (Torino)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4.236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2.788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-34,2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10.244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9.390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VB (Verbania)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337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-25,7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728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743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2,1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VC (Vercelli)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301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774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PIEMONTE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8.890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6.287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-29,3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20.167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18.719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-7,2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lastRenderedPageBreak/>
              <w:t xml:space="preserve">AO (Aosta)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256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-40,4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599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VALLE D'AOSTA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429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256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-40,4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684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599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-12,5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BG (Bergamo)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1.457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-27,5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4.515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4.352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BS (Brescia)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2.455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1.763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5.876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5.460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CO (Como)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1.239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869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-29,9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2.566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2.469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CR (Cremona)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766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587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-23,3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1.525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1.395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LC (Lecco)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715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525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-26,6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1.293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1.279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LO (Lodi)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561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384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-31,6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958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920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MN (Mantova)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639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-25,0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1.738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1.598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proofErr w:type="spellStart"/>
            <w:r>
              <w:rPr>
                <w:sz w:val="20"/>
                <w:szCs w:val="20"/>
                <w:u w:color="011892"/>
              </w:rPr>
              <w:t>MI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(Milano)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6.789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5.902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11.525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12.171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5,6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MB (Monza Brianza)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1.203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-33,2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3.459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3.373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PV (Pavia)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1.115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833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-25,3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2.478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2.437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SO (Sondrio)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406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277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-31,9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804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825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2,6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VA (Varese)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1.822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1.286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-29,4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3.706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3.568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LOMBARDIA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20.530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15.724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-23,4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40.443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39.848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BZ (Bolzano)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1.159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2.267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TN (Trento)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1.326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1.109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-16,3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3.198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2.504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TRENTINO A.A.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2.655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2.269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-14,6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5.599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4.771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-14,8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BL (Belluno)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313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-36,3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818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PD (Padova)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1.907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1.401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-26,5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3.816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3.635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RO (Rovigo)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503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-15,5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944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TV (Treviso) 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1.345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3.698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3.386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VE (Venezia)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1.050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3.195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3.176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-0,6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VR (Verona)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1.774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1.404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-20,9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3.986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3.971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-0,4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proofErr w:type="spellStart"/>
            <w:r>
              <w:rPr>
                <w:sz w:val="20"/>
                <w:szCs w:val="20"/>
                <w:u w:color="011892"/>
              </w:rPr>
              <w:t>VI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(Vicenza)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1.410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-32,1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3.689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3.367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VENETO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10.198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7.425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-27,2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20.268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19.297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-4,8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GO (Gorizia)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-26,1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657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546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-16,9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PN (Pordenone)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811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636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1.385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-11,2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TS (Trieste)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410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349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-15,0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757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UD (Udine)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1.246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1.070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2.463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2.228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FRIULI V.G.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2.768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2.278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-17,7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5.544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4.916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-11,3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lastRenderedPageBreak/>
              <w:t xml:space="preserve">GE (Genova)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873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2.919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2.788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IM (Imperia)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339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282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-16,9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957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827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SP (La Spezia)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307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206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-32,8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876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867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SV (Savona)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355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-26,6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1.294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LIGURIA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2.237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1.715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-23,3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6.046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5.734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-5,2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BO (Bologna)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1.427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3.934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3.718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FE (Ferrara)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849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594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-30,0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1.475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1.426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FO (Forlì)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765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624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-18,4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1.633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1.606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MO (Modena)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1.024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-24,3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3.141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3.023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PR (Parma)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641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2.039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1.878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PC (Piacenza)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499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420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-15,9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1.241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RA (Ravenna)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645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-25,6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1.694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0,6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RE (Reggio Emilia)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870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2.180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2.455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12,6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RN (Rimini)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486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-16,2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1.371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1.259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EMILIA ROMAGNA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8.555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6.732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-21,3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18.726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18.300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6211E2" w:rsidRDefault="00FA633C">
            <w:pPr>
              <w:rPr>
                <w:color w:val="0070C0"/>
              </w:rPr>
            </w:pPr>
            <w:r w:rsidRPr="006211E2">
              <w:rPr>
                <w:color w:val="0070C0"/>
                <w:sz w:val="20"/>
                <w:szCs w:val="20"/>
                <w:u w:color="000099"/>
              </w:rPr>
              <w:t>NORD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6211E2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6211E2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56.262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6211E2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6211E2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42.684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6211E2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6211E2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-24,1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6211E2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6211E2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117.477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6211E2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6211E2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112.183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6211E2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6211E2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-4,5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AR (Arezzo)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666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506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-24,0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1.573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1.483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FI (Firenze)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1.978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-31,7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3.764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3.680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GR (Grosseto)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582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326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-44,0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1.054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proofErr w:type="spellStart"/>
            <w:r>
              <w:rPr>
                <w:sz w:val="20"/>
                <w:szCs w:val="20"/>
                <w:u w:color="011892"/>
              </w:rPr>
              <w:t>LI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(Livorno)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602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411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-31,8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1.324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LU (Lucca)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686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485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-29,3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1.555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MS (Massa Carrara)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217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-29,4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719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PI (Pisa)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711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554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-22,1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1.647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1.723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4,6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PT (Pistoia)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668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554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-17,0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1.396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PO (Prato)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399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302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-24,4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1.004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1.046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4,2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SI (Siena)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551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399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-27,6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1.193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TOSCANA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7.151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5.105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-28,6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15.718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15.106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-3,9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PG (Perugia)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1.154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3.254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2.918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TR (Terni)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478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395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-17,4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871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-17,2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UMBRIA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2.086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1.549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-25,7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4.306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3.789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-12,0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AN (Ancona)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840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903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7,5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2.101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2.094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-0,3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lastRenderedPageBreak/>
              <w:t xml:space="preserve">AP (Ascoli Piceno)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317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-18,4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824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744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FM (Fermo)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248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-24,7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646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MC (Macerata)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540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394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-27,1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1.226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-11,9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PU (Pesaro e Urbino)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554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379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-31,6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1.215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1.250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2,9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MARCHE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2.652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2.241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-15,5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6.287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5.959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-5,2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FR (Frosinone)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889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731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-17,7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2.282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LT (Latina)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1.013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2.886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2.757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RI (Rieti)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274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-30,7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810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734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RM (Roma)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9.005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6.772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-24,8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19.546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18.958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VT (Viterbo)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703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563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-19,9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1.563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1.498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LAZIO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12.005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9.262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-22,9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27.277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26.228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-3,8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0070C0"/>
              </w:rPr>
            </w:pPr>
            <w:r w:rsidRPr="00FA633C">
              <w:rPr>
                <w:color w:val="0070C0"/>
                <w:sz w:val="20"/>
                <w:szCs w:val="20"/>
                <w:u w:color="000099"/>
              </w:rPr>
              <w:t>CENTRO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23.894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18.156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-24,0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53.588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51.083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-4,7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AQ (L'Aquila)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711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-26,6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1.390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1.253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CH (Chieti)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778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542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-30,3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1.637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1.549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PE (Pescara)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417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1.433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1.271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-11,3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TE (Teramo)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607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456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-24,9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1.347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ABRUZZO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2.677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1.937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-27,6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5.920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5.419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-8,5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CB (Campobasso)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422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302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-28,5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1.013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IS (Isernia)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134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423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418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MOLISE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594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436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-26,6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1.614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1.431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-11,3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AV (Avellino)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574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-25,1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1.656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-11,4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BN (Benevento)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548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373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1.263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1.083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CE (Caserta)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1.442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1.465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1,6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4.131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3.952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NA (Napoli)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4.483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4.064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12.350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11.819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SA (Salerno)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1.651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1.270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-23,1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4.946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4.582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CAMPANIA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8.891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7.746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-12,9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24.559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23.093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-6,0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BA (Bari)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2.560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1.846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-27,9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5.944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5.348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BT (Barletta Andria Trani)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612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585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1.878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1.683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BR (Brindisi)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893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540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-39,5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2.053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1.834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FG (Foggia)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1.003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764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-23,9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3.289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2.917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-11,3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LE (Lecce)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1.353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-35,0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3.783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3.272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lastRenderedPageBreak/>
              <w:t xml:space="preserve">TA (Taranto)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1.038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857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-17,5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2.816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2.572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PUGLIA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8.187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5.944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-27,4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19.763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17.628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-10,8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MT (Matera)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295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990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839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-15,2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PZ (Potenza)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653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-30,8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1.539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BASILICATA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1.030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747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-27,5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2.646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2.378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-10,1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CZ (Catanzaro)    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404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-43,0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1.589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1.452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CS (Cosenza)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1.269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736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3.470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2.984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KR (Crotone)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173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159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713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RC (Reggio Calabria)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559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-16,8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2.419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2.333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>VV (Vibo Valentia)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151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-5,4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606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-14,1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CALABRIA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2.983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2.010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-32,6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8.935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8.088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-9,5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AG (Agrigento)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536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-32,6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1.935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1.772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-8,4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proofErr w:type="spellStart"/>
            <w:r>
              <w:rPr>
                <w:sz w:val="20"/>
                <w:szCs w:val="20"/>
                <w:u w:color="011892"/>
              </w:rPr>
              <w:t>CL</w:t>
            </w:r>
            <w:proofErr w:type="spellEnd"/>
            <w:r>
              <w:rPr>
                <w:sz w:val="20"/>
                <w:szCs w:val="20"/>
                <w:u w:color="011892"/>
              </w:rPr>
              <w:t xml:space="preserve"> (Caltanissetta)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331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1.091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-7,3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CT (Catania)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1.722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1.704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5.558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5.526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-0,6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EN (Enna)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208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-21,1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739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646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-12,6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ME (Messina)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857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784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-8,6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2.861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2.656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PA (Palermo) 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1.605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5.395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5.036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-6,7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RG (Ragusa)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545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496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-9,0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1.552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-2,0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SR (Siracusa)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739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641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-13,2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1.810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1.950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7,7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TP (Trapani)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774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660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-14,7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2.191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2.042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-6,8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SICILIA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7.750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6.966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23.249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22.271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-4,2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633C" w:rsidRDefault="00FA633C">
            <w:r>
              <w:rPr>
                <w:sz w:val="20"/>
                <w:szCs w:val="20"/>
                <w:u w:color="011892"/>
              </w:rPr>
              <w:t>CA (Cagliari)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692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-15,7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2.109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2.009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-4,8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NU (Nuoro)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338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298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-12,0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1.182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1.145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-3,2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OR (Oristano)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-7,9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779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725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-6,9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633C" w:rsidRDefault="00FA633C">
            <w:r>
              <w:rPr>
                <w:sz w:val="20"/>
                <w:szCs w:val="20"/>
                <w:u w:color="011892"/>
              </w:rPr>
              <w:t xml:space="preserve">SS (Sassari)  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888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799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2.574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2.560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-0,5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633C" w:rsidRDefault="00FA633C">
            <w:r>
              <w:rPr>
                <w:sz w:val="20"/>
                <w:szCs w:val="20"/>
                <w:u w:color="011892"/>
              </w:rPr>
              <w:t>SU (Sud Sardegna)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533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411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-22,9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1.826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 w:val="0"/>
                <w:color w:val="auto"/>
                <w:sz w:val="20"/>
                <w:szCs w:val="20"/>
              </w:rPr>
              <w:t>1.628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auto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color w:val="auto"/>
                <w:sz w:val="20"/>
                <w:szCs w:val="20"/>
              </w:rPr>
              <w:t>-10,8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C00000"/>
              </w:rPr>
            </w:pPr>
            <w:r w:rsidRPr="00FA633C">
              <w:rPr>
                <w:color w:val="C00000"/>
                <w:sz w:val="20"/>
                <w:szCs w:val="20"/>
                <w:u w:color="993300"/>
              </w:rPr>
              <w:t>SARDEGNA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2.852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2.450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-14,1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8.470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8.067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C0000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C00000"/>
                <w:sz w:val="20"/>
                <w:szCs w:val="20"/>
              </w:rPr>
              <w:t>-4,8</w:t>
            </w:r>
          </w:p>
        </w:tc>
      </w:tr>
      <w:tr w:rsidR="00FA633C" w:rsidTr="00FA633C">
        <w:trPr>
          <w:trHeight w:val="300"/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3C" w:rsidRPr="00FA633C" w:rsidRDefault="00FA633C">
            <w:pPr>
              <w:rPr>
                <w:color w:val="0070C0"/>
              </w:rPr>
            </w:pPr>
            <w:r w:rsidRPr="00FA633C">
              <w:rPr>
                <w:color w:val="0070C0"/>
                <w:sz w:val="20"/>
                <w:szCs w:val="20"/>
                <w:u w:color="000099"/>
              </w:rPr>
              <w:t>SUD E ISOLE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34.964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28.235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-19,2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95.156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88.375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633C" w:rsidRPr="00FA633C" w:rsidRDefault="00FA633C" w:rsidP="00FA633C">
            <w:pPr>
              <w:rPr>
                <w:rFonts w:eastAsia="Arial Unicode MS" w:cs="Arial Unicode MS"/>
                <w:color w:val="0070C0"/>
                <w:sz w:val="20"/>
                <w:szCs w:val="20"/>
              </w:rPr>
            </w:pPr>
            <w:r w:rsidRPr="00FA633C">
              <w:rPr>
                <w:rFonts w:eastAsia="Arial Unicode MS" w:cs="Arial Unicode MS"/>
                <w:bCs w:val="0"/>
                <w:color w:val="0070C0"/>
                <w:sz w:val="20"/>
                <w:szCs w:val="20"/>
              </w:rPr>
              <w:t>-7,1</w:t>
            </w:r>
          </w:p>
        </w:tc>
      </w:tr>
    </w:tbl>
    <w:p w:rsidR="00AF3C84" w:rsidRDefault="00AF3C84">
      <w:pPr>
        <w:widowControl w:val="0"/>
        <w:ind w:left="271" w:hanging="271"/>
        <w:rPr>
          <w:color w:val="800000"/>
          <w:sz w:val="12"/>
          <w:szCs w:val="12"/>
          <w:u w:color="800000"/>
        </w:rPr>
      </w:pPr>
    </w:p>
    <w:p w:rsidR="00AF3C84" w:rsidRDefault="00AF3C84">
      <w:pPr>
        <w:widowControl w:val="0"/>
        <w:ind w:left="55" w:hanging="55"/>
        <w:rPr>
          <w:color w:val="800000"/>
          <w:sz w:val="6"/>
          <w:szCs w:val="6"/>
          <w:u w:color="800000"/>
        </w:rPr>
      </w:pPr>
    </w:p>
    <w:p w:rsidR="00AF3C84" w:rsidRDefault="00107C4E">
      <w:pPr>
        <w:jc w:val="left"/>
      </w:pPr>
      <w:r>
        <w:t xml:space="preserve">        </w:t>
      </w:r>
      <w:r>
        <w:rPr>
          <w:i/>
          <w:iCs/>
        </w:rPr>
        <w:t>Fonte: ACI – Automobile Club d’Italia</w:t>
      </w:r>
    </w:p>
    <w:sectPr w:rsidR="00AF3C84" w:rsidSect="00AF3C84">
      <w:headerReference w:type="default" r:id="rId8"/>
      <w:footerReference w:type="default" r:id="rId9"/>
      <w:pgSz w:w="11900" w:h="16840"/>
      <w:pgMar w:top="539" w:right="926" w:bottom="851" w:left="1080" w:header="708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97" w:rsidRDefault="009D4897" w:rsidP="00AF3C84">
      <w:r>
        <w:separator/>
      </w:r>
    </w:p>
  </w:endnote>
  <w:endnote w:type="continuationSeparator" w:id="0">
    <w:p w:rsidR="009D4897" w:rsidRDefault="009D4897" w:rsidP="00AF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E6" w:rsidRDefault="00E525E6">
    <w:pPr>
      <w:pStyle w:val="Pidipagina"/>
      <w:pBdr>
        <w:top w:val="single" w:sz="4" w:space="0" w:color="000000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ACI – AUTOMOBILE CLUB D’ITALIA</w:t>
    </w:r>
  </w:p>
  <w:p w:rsidR="00E525E6" w:rsidRDefault="00E525E6">
    <w:pPr>
      <w:pStyle w:val="Pidipagina"/>
      <w:rPr>
        <w:i/>
        <w:iCs/>
        <w:sz w:val="16"/>
        <w:szCs w:val="16"/>
      </w:rPr>
    </w:pPr>
    <w:r>
      <w:rPr>
        <w:i/>
        <w:iCs/>
        <w:sz w:val="16"/>
        <w:szCs w:val="16"/>
      </w:rPr>
      <w:t>Ufficio Stampa</w:t>
    </w:r>
  </w:p>
  <w:p w:rsidR="00E525E6" w:rsidRDefault="00E525E6">
    <w:pPr>
      <w:pStyle w:val="Pidipagina"/>
    </w:pPr>
    <w:r>
      <w:rPr>
        <w:sz w:val="16"/>
        <w:szCs w:val="16"/>
        <w:lang w:val="de-DE"/>
      </w:rPr>
      <w:t>ufficio.stampa@aci.it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97" w:rsidRDefault="009D4897" w:rsidP="00AF3C84">
      <w:r>
        <w:separator/>
      </w:r>
    </w:p>
  </w:footnote>
  <w:footnote w:type="continuationSeparator" w:id="0">
    <w:p w:rsidR="009D4897" w:rsidRDefault="009D4897" w:rsidP="00AF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E6" w:rsidRDefault="00E525E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C84"/>
    <w:rsid w:val="00107C4E"/>
    <w:rsid w:val="001B353A"/>
    <w:rsid w:val="00445FB1"/>
    <w:rsid w:val="00484F8F"/>
    <w:rsid w:val="00525A96"/>
    <w:rsid w:val="00587BF4"/>
    <w:rsid w:val="005D6831"/>
    <w:rsid w:val="005E00F0"/>
    <w:rsid w:val="006211E2"/>
    <w:rsid w:val="00656AA5"/>
    <w:rsid w:val="006C5567"/>
    <w:rsid w:val="00737332"/>
    <w:rsid w:val="007628C3"/>
    <w:rsid w:val="00806CC1"/>
    <w:rsid w:val="0084208D"/>
    <w:rsid w:val="00915628"/>
    <w:rsid w:val="00924941"/>
    <w:rsid w:val="009C696C"/>
    <w:rsid w:val="009D4897"/>
    <w:rsid w:val="00AF3C84"/>
    <w:rsid w:val="00C5104D"/>
    <w:rsid w:val="00CC3FE7"/>
    <w:rsid w:val="00CE2668"/>
    <w:rsid w:val="00D0266E"/>
    <w:rsid w:val="00D062F5"/>
    <w:rsid w:val="00E525E6"/>
    <w:rsid w:val="00ED12C4"/>
    <w:rsid w:val="00F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3C84"/>
    <w:pPr>
      <w:jc w:val="center"/>
    </w:pPr>
    <w:rPr>
      <w:rFonts w:ascii="Cambria" w:eastAsia="Cambria" w:hAnsi="Cambria" w:cs="Cambria"/>
      <w:b/>
      <w:bCs/>
      <w:color w:val="011892"/>
      <w:sz w:val="18"/>
      <w:szCs w:val="18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3C84"/>
    <w:rPr>
      <w:u w:val="single"/>
    </w:rPr>
  </w:style>
  <w:style w:type="table" w:customStyle="1" w:styleId="TableNormal">
    <w:name w:val="Table Normal"/>
    <w:rsid w:val="00AF3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F3C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dipagina">
    <w:name w:val="footer"/>
    <w:rsid w:val="00AF3C84"/>
    <w:pPr>
      <w:tabs>
        <w:tab w:val="center" w:pos="4819"/>
        <w:tab w:val="right" w:pos="9638"/>
      </w:tabs>
      <w:jc w:val="center"/>
    </w:pPr>
    <w:rPr>
      <w:rFonts w:ascii="Arial" w:hAnsi="Arial" w:cs="Arial Unicode MS"/>
      <w:color w:val="000000"/>
      <w:sz w:val="24"/>
      <w:szCs w:val="24"/>
      <w:u w:color="000000"/>
      <w:shd w:val="nil"/>
    </w:rPr>
  </w:style>
  <w:style w:type="paragraph" w:styleId="Titolo">
    <w:name w:val="Title"/>
    <w:link w:val="TitoloCarattere"/>
    <w:qFormat/>
    <w:rsid w:val="00D0266E"/>
    <w:pPr>
      <w:keepNext/>
      <w:spacing w:line="276" w:lineRule="auto"/>
      <w:jc w:val="both"/>
    </w:pPr>
    <w:rPr>
      <w:rFonts w:ascii="Cambria" w:eastAsia="Helvetica Neue" w:hAnsi="Cambria" w:cs="Helvetica Neue"/>
      <w:color w:val="000000"/>
      <w:u w:color="000000"/>
      <w:shd w:val="nil"/>
    </w:rPr>
  </w:style>
  <w:style w:type="paragraph" w:styleId="Nessunaspaziatura">
    <w:name w:val="No Spacing"/>
    <w:rsid w:val="00AF3C84"/>
    <w:pPr>
      <w:jc w:val="center"/>
    </w:pPr>
    <w:rPr>
      <w:rFonts w:ascii="Cambria" w:hAnsi="Cambria" w:cs="Arial Unicode MS"/>
      <w:b/>
      <w:bCs/>
      <w:color w:val="011892"/>
      <w:sz w:val="18"/>
      <w:szCs w:val="18"/>
      <w:u w:color="000000"/>
      <w:shd w:val="nil"/>
    </w:rPr>
  </w:style>
  <w:style w:type="character" w:customStyle="1" w:styleId="TitoloCarattere">
    <w:name w:val="Titolo Carattere"/>
    <w:basedOn w:val="Carpredefinitoparagrafo"/>
    <w:link w:val="Titolo"/>
    <w:rsid w:val="00D0266E"/>
    <w:rPr>
      <w:rFonts w:ascii="Cambria" w:eastAsia="Helvetica Neue" w:hAnsi="Cambria" w:cs="Helvetica Neue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7053-34BC-4496-B525-7F55EDEF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745227</cp:lastModifiedBy>
  <cp:revision>12</cp:revision>
  <dcterms:created xsi:type="dcterms:W3CDTF">2022-05-04T08:19:00Z</dcterms:created>
  <dcterms:modified xsi:type="dcterms:W3CDTF">2022-11-03T14:52:00Z</dcterms:modified>
</cp:coreProperties>
</file>