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931"/>
        <w:tblOverlap w:val="never"/>
        <w:tblW w:w="9757" w:type="dxa"/>
        <w:tblLayout w:type="fixed"/>
        <w:tblCellMar>
          <w:left w:w="0" w:type="dxa"/>
          <w:right w:w="0" w:type="dxa"/>
        </w:tblCellMar>
        <w:tblLook w:val="0000" w:firstRow="0" w:lastRow="0" w:firstColumn="0" w:lastColumn="0" w:noHBand="0" w:noVBand="0"/>
      </w:tblPr>
      <w:tblGrid>
        <w:gridCol w:w="4213"/>
        <w:gridCol w:w="2374"/>
        <w:gridCol w:w="3170"/>
      </w:tblGrid>
      <w:tr w:rsidR="004843CF" w:rsidRPr="00401161" w14:paraId="6D425C03" w14:textId="77777777" w:rsidTr="001C3083">
        <w:trPr>
          <w:trHeight w:hRule="exact" w:val="367"/>
        </w:trPr>
        <w:tc>
          <w:tcPr>
            <w:tcW w:w="6587" w:type="dxa"/>
            <w:gridSpan w:val="2"/>
            <w:vAlign w:val="bottom"/>
          </w:tcPr>
          <w:p w14:paraId="7E3E3690" w14:textId="77777777" w:rsidR="004843CF" w:rsidRPr="004843CF" w:rsidRDefault="004843CF" w:rsidP="00E150EE">
            <w:pPr>
              <w:pStyle w:val="Titolo"/>
              <w:framePr w:hSpace="0" w:wrap="auto" w:vAnchor="margin" w:hAnchor="text" w:yAlign="inline"/>
              <w:suppressOverlap w:val="0"/>
            </w:pPr>
            <w:bookmarkStart w:id="0" w:name="_Toc8653365"/>
            <w:bookmarkStart w:id="1" w:name="_Toc8797574"/>
            <w:bookmarkStart w:id="2" w:name="_Toc8799269"/>
            <w:bookmarkStart w:id="3" w:name="_Hlk80091120"/>
          </w:p>
        </w:tc>
        <w:tc>
          <w:tcPr>
            <w:tcW w:w="3170" w:type="dxa"/>
            <w:vMerge w:val="restart"/>
          </w:tcPr>
          <w:p w14:paraId="33C0246E" w14:textId="48A59B89" w:rsidR="004843CF" w:rsidRPr="00401161" w:rsidRDefault="004843CF" w:rsidP="00BD7F50">
            <w:r w:rsidRPr="00401161">
              <w:rPr>
                <w:rFonts w:asciiTheme="majorHAnsi" w:hAnsiTheme="majorHAnsi" w:cstheme="majorHAnsi"/>
                <w:color w:val="FFFFFF" w:themeColor="background1"/>
                <w:sz w:val="2"/>
                <w:szCs w:val="2"/>
              </w:rPr>
              <w:t>1</w:t>
            </w:r>
            <w:r w:rsidR="00AD6E60" w:rsidRPr="00401161">
              <w:rPr>
                <w:rFonts w:asciiTheme="majorHAnsi" w:hAnsiTheme="majorHAnsi" w:cstheme="majorHAnsi"/>
                <w:color w:val="FFFFFF" w:themeColor="background1"/>
                <w:sz w:val="2"/>
                <w:szCs w:val="2"/>
              </w:rPr>
              <w:t>M</w:t>
            </w:r>
          </w:p>
        </w:tc>
      </w:tr>
      <w:tr w:rsidR="00476DF7" w:rsidRPr="00401161" w14:paraId="074C0FDF" w14:textId="77777777" w:rsidTr="001C3083">
        <w:trPr>
          <w:trHeight w:hRule="exact" w:val="114"/>
        </w:trPr>
        <w:tc>
          <w:tcPr>
            <w:tcW w:w="6587" w:type="dxa"/>
            <w:gridSpan w:val="2"/>
            <w:vAlign w:val="bottom"/>
          </w:tcPr>
          <w:p w14:paraId="25A6A99C" w14:textId="77777777" w:rsidR="00476DF7" w:rsidRPr="00401161" w:rsidRDefault="00476DF7" w:rsidP="00E150EE">
            <w:pPr>
              <w:pStyle w:val="Titolo"/>
              <w:framePr w:hSpace="0" w:wrap="auto" w:vAnchor="margin" w:hAnchor="text" w:yAlign="inline"/>
              <w:suppressOverlap w:val="0"/>
            </w:pPr>
          </w:p>
        </w:tc>
        <w:tc>
          <w:tcPr>
            <w:tcW w:w="3170" w:type="dxa"/>
            <w:vMerge/>
          </w:tcPr>
          <w:p w14:paraId="05C590AE" w14:textId="77777777" w:rsidR="00476DF7" w:rsidRPr="00401161" w:rsidRDefault="00476DF7" w:rsidP="00BD7F50">
            <w:pPr>
              <w:rPr>
                <w:rFonts w:asciiTheme="majorHAnsi" w:hAnsiTheme="majorHAnsi" w:cstheme="majorHAnsi"/>
                <w:color w:val="FFFFFF" w:themeColor="background1"/>
                <w:sz w:val="2"/>
                <w:szCs w:val="2"/>
              </w:rPr>
            </w:pPr>
          </w:p>
        </w:tc>
      </w:tr>
      <w:tr w:rsidR="004843CF" w:rsidRPr="003D4554" w14:paraId="7D3031F2" w14:textId="77777777" w:rsidTr="001C3083">
        <w:trPr>
          <w:trHeight w:hRule="exact" w:val="1849"/>
        </w:trPr>
        <w:tc>
          <w:tcPr>
            <w:tcW w:w="6587" w:type="dxa"/>
            <w:gridSpan w:val="2"/>
            <w:vAlign w:val="bottom"/>
          </w:tcPr>
          <w:p w14:paraId="25E46BA3" w14:textId="77777777" w:rsidR="003D4554" w:rsidRDefault="003D4554" w:rsidP="006C41FE">
            <w:pPr>
              <w:pStyle w:val="Corpotesto"/>
              <w:rPr>
                <w:rFonts w:eastAsiaTheme="majorEastAsia" w:cstheme="majorBidi"/>
                <w:b/>
                <w:color w:val="003168" w:themeColor="text2"/>
                <w:kern w:val="0"/>
                <w:sz w:val="28"/>
                <w:szCs w:val="26"/>
                <w:lang w:val="it-IT"/>
              </w:rPr>
            </w:pPr>
          </w:p>
          <w:p w14:paraId="34FA12CE" w14:textId="77777777" w:rsidR="00CA50B4" w:rsidRDefault="00B4130E" w:rsidP="003D4554">
            <w:pPr>
              <w:pStyle w:val="Corpotesto"/>
              <w:rPr>
                <w:rFonts w:eastAsiaTheme="majorEastAsia" w:cstheme="majorBidi"/>
                <w:b/>
                <w:color w:val="003168" w:themeColor="text2"/>
                <w:kern w:val="0"/>
                <w:sz w:val="28"/>
                <w:szCs w:val="26"/>
                <w:lang w:val="it-IT"/>
              </w:rPr>
            </w:pPr>
            <w:r w:rsidRPr="0029486E">
              <w:rPr>
                <w:rFonts w:eastAsiaTheme="majorEastAsia" w:cstheme="majorBidi"/>
                <w:b/>
                <w:color w:val="003168" w:themeColor="text2"/>
                <w:kern w:val="0"/>
                <w:sz w:val="28"/>
                <w:szCs w:val="26"/>
                <w:lang w:val="it-IT"/>
              </w:rPr>
              <w:t xml:space="preserve">Ricerca RBC BlueBay: secondo la maggioranza degli investitori wholesale i mercati pubblici sovraperformeranno quelli privati nei prossimi </w:t>
            </w:r>
          </w:p>
          <w:p w14:paraId="556CDC19" w14:textId="4FD83870" w:rsidR="00862448" w:rsidRPr="003D4554" w:rsidRDefault="00B4130E" w:rsidP="003D4554">
            <w:pPr>
              <w:pStyle w:val="Corpotesto"/>
              <w:rPr>
                <w:lang w:val="it-IT"/>
              </w:rPr>
            </w:pPr>
            <w:r w:rsidRPr="0029486E">
              <w:rPr>
                <w:rFonts w:eastAsiaTheme="majorEastAsia" w:cstheme="majorBidi"/>
                <w:b/>
                <w:color w:val="003168" w:themeColor="text2"/>
                <w:kern w:val="0"/>
                <w:sz w:val="28"/>
                <w:szCs w:val="26"/>
                <w:lang w:val="it-IT"/>
              </w:rPr>
              <w:t>3-5 anni</w:t>
            </w:r>
          </w:p>
        </w:tc>
        <w:tc>
          <w:tcPr>
            <w:tcW w:w="3170" w:type="dxa"/>
            <w:vMerge/>
          </w:tcPr>
          <w:p w14:paraId="4C448F09" w14:textId="77777777" w:rsidR="004843CF" w:rsidRPr="00B4130E" w:rsidRDefault="004843CF" w:rsidP="00BD7F50">
            <w:pPr>
              <w:rPr>
                <w:lang w:val="it-IT"/>
              </w:rPr>
            </w:pPr>
          </w:p>
        </w:tc>
      </w:tr>
      <w:tr w:rsidR="004843CF" w:rsidRPr="003D4554" w14:paraId="3CBD9BDC" w14:textId="77777777" w:rsidTr="00AC482A">
        <w:trPr>
          <w:trHeight w:val="733"/>
        </w:trPr>
        <w:tc>
          <w:tcPr>
            <w:tcW w:w="4213" w:type="dxa"/>
          </w:tcPr>
          <w:p w14:paraId="3CF8FD69" w14:textId="30F01425" w:rsidR="001C3083" w:rsidRPr="003D4554" w:rsidRDefault="001C3083" w:rsidP="006C41FE">
            <w:pPr>
              <w:pStyle w:val="Corpotesto"/>
              <w:rPr>
                <w:lang w:val="it-IT"/>
              </w:rPr>
            </w:pPr>
          </w:p>
        </w:tc>
        <w:tc>
          <w:tcPr>
            <w:tcW w:w="2374" w:type="dxa"/>
          </w:tcPr>
          <w:p w14:paraId="371E7F95" w14:textId="77777777" w:rsidR="004843CF" w:rsidRPr="00B4130E" w:rsidRDefault="004843CF" w:rsidP="004843CF">
            <w:pPr>
              <w:rPr>
                <w:rFonts w:asciiTheme="majorHAnsi" w:hAnsiTheme="majorHAnsi" w:cstheme="majorHAnsi"/>
                <w:color w:val="FFFFFF" w:themeColor="background1"/>
                <w:sz w:val="2"/>
                <w:szCs w:val="2"/>
                <w:lang w:val="it-IT"/>
              </w:rPr>
            </w:pPr>
          </w:p>
        </w:tc>
        <w:tc>
          <w:tcPr>
            <w:tcW w:w="3170" w:type="dxa"/>
            <w:vMerge/>
          </w:tcPr>
          <w:p w14:paraId="28115A30" w14:textId="77777777" w:rsidR="004843CF" w:rsidRPr="00B4130E" w:rsidRDefault="004843CF" w:rsidP="00BD7F50">
            <w:pPr>
              <w:rPr>
                <w:rFonts w:asciiTheme="majorHAnsi" w:hAnsiTheme="majorHAnsi" w:cstheme="majorHAnsi"/>
                <w:sz w:val="2"/>
                <w:szCs w:val="2"/>
                <w:lang w:val="it-IT"/>
              </w:rPr>
            </w:pPr>
          </w:p>
        </w:tc>
      </w:tr>
    </w:tbl>
    <w:p w14:paraId="1982FD93" w14:textId="77777777" w:rsidR="007D344E" w:rsidRPr="00B4130E" w:rsidRDefault="007D344E" w:rsidP="001C3083">
      <w:pPr>
        <w:spacing w:line="240" w:lineRule="auto"/>
        <w:jc w:val="both"/>
        <w:rPr>
          <w:b/>
          <w:szCs w:val="20"/>
          <w:lang w:val="it-IT"/>
        </w:rPr>
      </w:pPr>
      <w:bookmarkStart w:id="4" w:name="_Hlk89328400"/>
      <w:bookmarkStart w:id="5" w:name="_Hlk91661780"/>
      <w:bookmarkStart w:id="6" w:name="_Hlk80090730"/>
      <w:bookmarkEnd w:id="0"/>
      <w:bookmarkEnd w:id="1"/>
      <w:bookmarkEnd w:id="2"/>
      <w:bookmarkEnd w:id="3"/>
    </w:p>
    <w:p w14:paraId="66AE0E34" w14:textId="0C3246AD" w:rsidR="00B4130E" w:rsidRPr="00B4130E" w:rsidRDefault="009010AE" w:rsidP="001C3083">
      <w:pPr>
        <w:spacing w:line="240" w:lineRule="auto"/>
        <w:jc w:val="both"/>
        <w:rPr>
          <w:bCs/>
          <w:szCs w:val="20"/>
          <w:lang w:val="it-IT"/>
        </w:rPr>
      </w:pPr>
      <w:r w:rsidRPr="00B4130E">
        <w:rPr>
          <w:b/>
          <w:szCs w:val="20"/>
          <w:lang w:val="it-IT"/>
        </w:rPr>
        <w:t>2</w:t>
      </w:r>
      <w:r w:rsidR="003E3F99">
        <w:rPr>
          <w:b/>
          <w:szCs w:val="20"/>
          <w:lang w:val="it-IT"/>
        </w:rPr>
        <w:t>8</w:t>
      </w:r>
      <w:r w:rsidR="008D269B" w:rsidRPr="00B4130E">
        <w:rPr>
          <w:b/>
          <w:szCs w:val="20"/>
          <w:lang w:val="it-IT"/>
        </w:rPr>
        <w:t xml:space="preserve"> </w:t>
      </w:r>
      <w:r w:rsidR="0042651C">
        <w:rPr>
          <w:b/>
          <w:szCs w:val="20"/>
          <w:lang w:val="it-IT"/>
        </w:rPr>
        <w:t>novembre</w:t>
      </w:r>
      <w:r w:rsidR="0042651C" w:rsidRPr="00B4130E">
        <w:rPr>
          <w:b/>
          <w:szCs w:val="20"/>
          <w:lang w:val="it-IT"/>
        </w:rPr>
        <w:t xml:space="preserve"> </w:t>
      </w:r>
      <w:r w:rsidR="008D269B" w:rsidRPr="00B4130E">
        <w:rPr>
          <w:b/>
          <w:szCs w:val="20"/>
          <w:lang w:val="it-IT"/>
        </w:rPr>
        <w:t xml:space="preserve">2022 </w:t>
      </w:r>
      <w:r w:rsidR="009123B4" w:rsidRPr="00B4130E">
        <w:rPr>
          <w:b/>
          <w:szCs w:val="20"/>
          <w:lang w:val="it-IT"/>
        </w:rPr>
        <w:t>(</w:t>
      </w:r>
      <w:r w:rsidR="0042651C">
        <w:rPr>
          <w:b/>
          <w:szCs w:val="20"/>
          <w:lang w:val="it-IT"/>
        </w:rPr>
        <w:t>Londra</w:t>
      </w:r>
      <w:r w:rsidR="009123B4" w:rsidRPr="00B4130E">
        <w:rPr>
          <w:b/>
          <w:szCs w:val="20"/>
          <w:lang w:val="it-IT"/>
        </w:rPr>
        <w:t>):</w:t>
      </w:r>
      <w:r w:rsidR="00F5117D" w:rsidRPr="00B4130E">
        <w:rPr>
          <w:bCs/>
          <w:szCs w:val="20"/>
          <w:lang w:val="it-IT"/>
        </w:rPr>
        <w:t xml:space="preserve"> </w:t>
      </w:r>
      <w:r w:rsidR="00B4130E" w:rsidRPr="00B4130E">
        <w:rPr>
          <w:b/>
          <w:szCs w:val="20"/>
          <w:lang w:val="it-IT"/>
        </w:rPr>
        <w:t xml:space="preserve">I mercati pubblici </w:t>
      </w:r>
      <w:r w:rsidR="00B4130E" w:rsidRPr="00B4130E">
        <w:rPr>
          <w:b/>
          <w:lang w:val="it-IT"/>
        </w:rPr>
        <w:t xml:space="preserve">sovraperformeranno </w:t>
      </w:r>
      <w:r w:rsidR="00B4130E" w:rsidRPr="00B4130E">
        <w:rPr>
          <w:b/>
          <w:szCs w:val="20"/>
          <w:lang w:val="it-IT"/>
        </w:rPr>
        <w:t>quelli privati nei prossimi 5-10 anni, nonostante volatilità e inflazione in crescita</w:t>
      </w:r>
      <w:r w:rsidR="00B4130E" w:rsidRPr="00B4130E">
        <w:rPr>
          <w:bCs/>
          <w:szCs w:val="20"/>
          <w:lang w:val="it-IT"/>
        </w:rPr>
        <w:t xml:space="preserve">: è questo il sentiment degli investitori wholesale internazionali </w:t>
      </w:r>
      <w:r w:rsidR="006C41FE">
        <w:rPr>
          <w:bCs/>
          <w:szCs w:val="20"/>
          <w:lang w:val="it-IT"/>
        </w:rPr>
        <w:t>che emerge</w:t>
      </w:r>
      <w:r w:rsidR="00B4130E">
        <w:rPr>
          <w:bCs/>
          <w:szCs w:val="20"/>
          <w:lang w:val="it-IT"/>
        </w:rPr>
        <w:t xml:space="preserve"> da un sondaggio </w:t>
      </w:r>
      <w:r w:rsidR="00B4130E" w:rsidRPr="00B4130E">
        <w:rPr>
          <w:bCs/>
          <w:szCs w:val="20"/>
          <w:lang w:val="it-IT"/>
        </w:rPr>
        <w:t>commissionat</w:t>
      </w:r>
      <w:r w:rsidR="00B4130E">
        <w:rPr>
          <w:bCs/>
          <w:szCs w:val="20"/>
          <w:lang w:val="it-IT"/>
        </w:rPr>
        <w:t>o</w:t>
      </w:r>
      <w:r w:rsidR="00B4130E" w:rsidRPr="00B4130E">
        <w:rPr>
          <w:bCs/>
          <w:szCs w:val="20"/>
          <w:lang w:val="it-IT"/>
        </w:rPr>
        <w:t xml:space="preserve"> da RBC BlueBay Asset Management ("RBC BlueBay"). La ricerca</w:t>
      </w:r>
      <w:r w:rsidR="00F00A9C" w:rsidRPr="00F00A9C">
        <w:rPr>
          <w:b/>
          <w:bCs/>
          <w:vertAlign w:val="superscript"/>
          <w:lang w:val="it-IT"/>
        </w:rPr>
        <w:t>1</w:t>
      </w:r>
      <w:r w:rsidR="00B4130E" w:rsidRPr="00B4130E">
        <w:rPr>
          <w:bCs/>
          <w:szCs w:val="20"/>
          <w:lang w:val="it-IT"/>
        </w:rPr>
        <w:t xml:space="preserve">, che ha </w:t>
      </w:r>
      <w:r w:rsidR="00B4130E">
        <w:rPr>
          <w:bCs/>
          <w:szCs w:val="20"/>
          <w:lang w:val="it-IT"/>
        </w:rPr>
        <w:t>coinvolto</w:t>
      </w:r>
      <w:r w:rsidR="00B4130E" w:rsidRPr="00B4130E">
        <w:rPr>
          <w:bCs/>
          <w:szCs w:val="20"/>
          <w:lang w:val="it-IT"/>
        </w:rPr>
        <w:t xml:space="preserve"> 800 </w:t>
      </w:r>
      <w:r w:rsidR="00B4130E">
        <w:rPr>
          <w:bCs/>
          <w:szCs w:val="20"/>
          <w:lang w:val="it-IT"/>
        </w:rPr>
        <w:t>fund buyer</w:t>
      </w:r>
      <w:r w:rsidR="00B4130E" w:rsidRPr="00B4130E">
        <w:rPr>
          <w:bCs/>
          <w:szCs w:val="20"/>
          <w:lang w:val="it-IT"/>
        </w:rPr>
        <w:t xml:space="preserve">, consulenti e </w:t>
      </w:r>
      <w:r w:rsidR="00ED369D">
        <w:rPr>
          <w:bCs/>
          <w:szCs w:val="20"/>
          <w:lang w:val="it-IT"/>
        </w:rPr>
        <w:t>asset manager</w:t>
      </w:r>
      <w:r w:rsidR="00B4130E" w:rsidRPr="00B4130E">
        <w:rPr>
          <w:bCs/>
          <w:szCs w:val="20"/>
          <w:lang w:val="it-IT"/>
        </w:rPr>
        <w:t xml:space="preserve"> europei (di cui 100 italiani) e statunitensi ("investitori internazionali </w:t>
      </w:r>
      <w:r w:rsidR="00ED369D">
        <w:rPr>
          <w:bCs/>
          <w:szCs w:val="20"/>
          <w:lang w:val="it-IT"/>
        </w:rPr>
        <w:t>wholesale</w:t>
      </w:r>
      <w:r w:rsidR="00B4130E" w:rsidRPr="00B4130E">
        <w:rPr>
          <w:bCs/>
          <w:szCs w:val="20"/>
          <w:lang w:val="it-IT"/>
        </w:rPr>
        <w:t xml:space="preserve">"), ha anche rilevato che la stragrande maggioranza degli intervistati (86%) </w:t>
      </w:r>
      <w:r w:rsidR="00B4130E" w:rsidRPr="00ED369D">
        <w:rPr>
          <w:b/>
          <w:szCs w:val="20"/>
          <w:lang w:val="it-IT"/>
        </w:rPr>
        <w:t xml:space="preserve">non prevede di aumentare </w:t>
      </w:r>
      <w:r w:rsidR="00ED369D" w:rsidRPr="00ED369D">
        <w:rPr>
          <w:b/>
          <w:szCs w:val="20"/>
          <w:lang w:val="it-IT"/>
        </w:rPr>
        <w:t>in modo significativo</w:t>
      </w:r>
      <w:r w:rsidR="00B4130E" w:rsidRPr="00ED369D">
        <w:rPr>
          <w:b/>
          <w:szCs w:val="20"/>
          <w:lang w:val="it-IT"/>
        </w:rPr>
        <w:t xml:space="preserve"> la propria allocazione ai mercati privati rispetto ai livelli attuali e rimane positiva nei confronti dei mercati pubblici</w:t>
      </w:r>
      <w:r w:rsidR="00B4130E" w:rsidRPr="00B4130E">
        <w:rPr>
          <w:bCs/>
          <w:szCs w:val="20"/>
          <w:lang w:val="it-IT"/>
        </w:rPr>
        <w:t>, nonostante i recenti venti contrari dell'economia globale.</w:t>
      </w:r>
    </w:p>
    <w:p w14:paraId="1CED7230" w14:textId="5C42658A" w:rsidR="00AC482A" w:rsidRPr="003D4554" w:rsidRDefault="00AC482A" w:rsidP="001C3083">
      <w:pPr>
        <w:spacing w:line="240" w:lineRule="auto"/>
        <w:jc w:val="both"/>
        <w:rPr>
          <w:bCs/>
          <w:szCs w:val="20"/>
          <w:lang w:val="it-IT"/>
        </w:rPr>
      </w:pPr>
    </w:p>
    <w:p w14:paraId="39EC6C84" w14:textId="64CF1250" w:rsidR="006C41FE" w:rsidRPr="006C41FE" w:rsidRDefault="006C41FE" w:rsidP="006C41FE">
      <w:pPr>
        <w:pStyle w:val="Corpotesto"/>
        <w:rPr>
          <w:lang w:val="it-IT"/>
        </w:rPr>
      </w:pPr>
      <w:r w:rsidRPr="006C41FE">
        <w:rPr>
          <w:lang w:val="it-IT"/>
        </w:rPr>
        <w:t>L'indagine ha inoltre confermato l’elev</w:t>
      </w:r>
      <w:r>
        <w:rPr>
          <w:lang w:val="it-IT"/>
        </w:rPr>
        <w:t>ata</w:t>
      </w:r>
      <w:r w:rsidRPr="006C41FE">
        <w:rPr>
          <w:lang w:val="it-IT"/>
        </w:rPr>
        <w:t xml:space="preserve"> </w:t>
      </w:r>
      <w:r w:rsidRPr="006C41FE">
        <w:rPr>
          <w:b/>
          <w:bCs/>
          <w:lang w:val="it-IT"/>
        </w:rPr>
        <w:t>attenzione degli investitori wholesale internazionali verso la gestione attiva e le tematiche ambientali, sociali e di governance (ESG)</w:t>
      </w:r>
      <w:r w:rsidRPr="006C41FE">
        <w:rPr>
          <w:lang w:val="it-IT"/>
        </w:rPr>
        <w:t>. Il campione italian</w:t>
      </w:r>
      <w:r>
        <w:rPr>
          <w:lang w:val="it-IT"/>
        </w:rPr>
        <w:t>o è risultato</w:t>
      </w:r>
      <w:r w:rsidRPr="006C41FE">
        <w:rPr>
          <w:lang w:val="it-IT"/>
        </w:rPr>
        <w:t xml:space="preserve"> in gran parte in linea con le opinioni degli investitori wholesale </w:t>
      </w:r>
      <w:r>
        <w:rPr>
          <w:lang w:val="it-IT"/>
        </w:rPr>
        <w:t>degli</w:t>
      </w:r>
      <w:r w:rsidRPr="006C41FE">
        <w:rPr>
          <w:lang w:val="it-IT"/>
        </w:rPr>
        <w:t xml:space="preserve"> altri Paesi, con alcune importanti differenze come </w:t>
      </w:r>
      <w:r w:rsidRPr="006C41FE">
        <w:rPr>
          <w:b/>
          <w:bCs/>
          <w:lang w:val="it-IT"/>
        </w:rPr>
        <w:t>una maggiore sensibilità all'inflazione, un più alto grado di ottimismo riguardo ai rendimenti futuri, una maggiore attenzione alle small e mid-cap (SMID) e un livello più alto di fiducia sull’azionario cinese</w:t>
      </w:r>
      <w:r w:rsidRPr="006C41FE">
        <w:rPr>
          <w:lang w:val="it-IT"/>
        </w:rPr>
        <w:t>.</w:t>
      </w:r>
    </w:p>
    <w:p w14:paraId="7764D1E9" w14:textId="3A20D429" w:rsidR="00B54344" w:rsidRPr="003D4554" w:rsidRDefault="00B54344" w:rsidP="00313FE8">
      <w:pPr>
        <w:spacing w:line="240" w:lineRule="auto"/>
        <w:jc w:val="both"/>
        <w:rPr>
          <w:bCs/>
          <w:szCs w:val="20"/>
          <w:lang w:val="it-IT"/>
        </w:rPr>
      </w:pPr>
    </w:p>
    <w:p w14:paraId="555EF659" w14:textId="76FE7F05" w:rsidR="002E1DDC" w:rsidRPr="003D4554" w:rsidRDefault="002E1DDC" w:rsidP="00313FE8">
      <w:pPr>
        <w:spacing w:line="240" w:lineRule="auto"/>
        <w:jc w:val="both"/>
        <w:rPr>
          <w:bCs/>
          <w:szCs w:val="20"/>
          <w:lang w:val="it-IT"/>
        </w:rPr>
      </w:pPr>
      <w:r w:rsidRPr="00F00A9C">
        <w:rPr>
          <w:bCs/>
          <w:szCs w:val="20"/>
          <w:u w:val="single"/>
          <w:lang w:val="it-IT"/>
        </w:rPr>
        <w:t>Altri risultati</w:t>
      </w:r>
      <w:r w:rsidRPr="003D4554">
        <w:rPr>
          <w:bCs/>
          <w:szCs w:val="20"/>
          <w:lang w:val="it-IT"/>
        </w:rPr>
        <w:t>:</w:t>
      </w:r>
    </w:p>
    <w:p w14:paraId="5296CFF3" w14:textId="77777777" w:rsidR="00032FF3" w:rsidRPr="003D4554" w:rsidRDefault="00032FF3" w:rsidP="00313FE8">
      <w:pPr>
        <w:spacing w:line="240" w:lineRule="auto"/>
        <w:jc w:val="both"/>
        <w:rPr>
          <w:bCs/>
          <w:szCs w:val="20"/>
          <w:lang w:val="it-IT"/>
        </w:rPr>
      </w:pPr>
    </w:p>
    <w:p w14:paraId="19FF3691" w14:textId="5152CBB2" w:rsidR="0042651C" w:rsidRDefault="0042651C" w:rsidP="000D3B04">
      <w:pPr>
        <w:spacing w:line="240" w:lineRule="auto"/>
        <w:contextualSpacing/>
        <w:jc w:val="both"/>
        <w:rPr>
          <w:b/>
          <w:szCs w:val="20"/>
          <w:lang w:val="it-IT"/>
        </w:rPr>
      </w:pPr>
      <w:r>
        <w:rPr>
          <w:b/>
          <w:szCs w:val="20"/>
          <w:lang w:val="it-IT"/>
        </w:rPr>
        <w:t>Mercati pubblici vs. mercati privati</w:t>
      </w:r>
    </w:p>
    <w:p w14:paraId="0695E09F" w14:textId="2B433263" w:rsidR="002E1DDC" w:rsidRDefault="002E1DDC" w:rsidP="000D3B04">
      <w:pPr>
        <w:spacing w:line="240" w:lineRule="auto"/>
        <w:contextualSpacing/>
        <w:jc w:val="both"/>
        <w:rPr>
          <w:bCs/>
          <w:szCs w:val="20"/>
          <w:lang w:val="it-IT"/>
        </w:rPr>
      </w:pPr>
      <w:r>
        <w:rPr>
          <w:b/>
          <w:szCs w:val="20"/>
          <w:lang w:val="it-IT"/>
        </w:rPr>
        <w:t>A livello internazionale gli</w:t>
      </w:r>
      <w:r w:rsidRPr="00D02007">
        <w:rPr>
          <w:b/>
          <w:szCs w:val="20"/>
          <w:lang w:val="it-IT"/>
        </w:rPr>
        <w:t xml:space="preserve"> intervistati allocano attualmente il 2</w:t>
      </w:r>
      <w:r>
        <w:rPr>
          <w:b/>
          <w:szCs w:val="20"/>
          <w:lang w:val="it-IT"/>
        </w:rPr>
        <w:t>2</w:t>
      </w:r>
      <w:r w:rsidRPr="00D02007">
        <w:rPr>
          <w:b/>
          <w:szCs w:val="20"/>
          <w:lang w:val="it-IT"/>
        </w:rPr>
        <w:t>% (vs 2</w:t>
      </w:r>
      <w:r>
        <w:rPr>
          <w:b/>
          <w:szCs w:val="20"/>
          <w:lang w:val="it-IT"/>
        </w:rPr>
        <w:t>0</w:t>
      </w:r>
      <w:r w:rsidRPr="00D02007">
        <w:rPr>
          <w:b/>
          <w:szCs w:val="20"/>
          <w:lang w:val="it-IT"/>
        </w:rPr>
        <w:t>%</w:t>
      </w:r>
      <w:r w:rsidR="0042651C">
        <w:rPr>
          <w:b/>
          <w:szCs w:val="20"/>
          <w:lang w:val="it-IT"/>
        </w:rPr>
        <w:t xml:space="preserve"> </w:t>
      </w:r>
      <w:r>
        <w:rPr>
          <w:b/>
          <w:szCs w:val="20"/>
          <w:lang w:val="it-IT"/>
        </w:rPr>
        <w:t>degli</w:t>
      </w:r>
      <w:r w:rsidRPr="00D02007">
        <w:rPr>
          <w:b/>
          <w:szCs w:val="20"/>
          <w:lang w:val="it-IT"/>
        </w:rPr>
        <w:t xml:space="preserve"> </w:t>
      </w:r>
      <w:r>
        <w:rPr>
          <w:b/>
          <w:szCs w:val="20"/>
          <w:lang w:val="it-IT"/>
        </w:rPr>
        <w:t>italiani</w:t>
      </w:r>
      <w:r w:rsidRPr="00D02007">
        <w:rPr>
          <w:b/>
          <w:szCs w:val="20"/>
          <w:lang w:val="it-IT"/>
        </w:rPr>
        <w:t>) dei propri portafogli ai mercati privati e</w:t>
      </w:r>
      <w:r w:rsidRPr="002E7A28">
        <w:rPr>
          <w:bCs/>
          <w:szCs w:val="20"/>
          <w:lang w:val="it-IT"/>
        </w:rPr>
        <w:t xml:space="preserve"> </w:t>
      </w:r>
      <w:r w:rsidRPr="00D02007">
        <w:rPr>
          <w:b/>
          <w:szCs w:val="20"/>
          <w:lang w:val="it-IT"/>
        </w:rPr>
        <w:t>non prevedono di aumentare significativamente questa allocazione nei prossimi tre-cinque anni</w:t>
      </w:r>
      <w:r w:rsidRPr="002E7A28">
        <w:rPr>
          <w:bCs/>
          <w:szCs w:val="20"/>
          <w:lang w:val="it-IT"/>
        </w:rPr>
        <w:t>. Mentre poco più della metà degli intervistati</w:t>
      </w:r>
      <w:r>
        <w:rPr>
          <w:bCs/>
          <w:szCs w:val="20"/>
          <w:lang w:val="it-IT"/>
        </w:rPr>
        <w:t xml:space="preserve"> italiani </w:t>
      </w:r>
      <w:r w:rsidR="0042651C">
        <w:rPr>
          <w:bCs/>
          <w:szCs w:val="20"/>
          <w:lang w:val="it-IT"/>
        </w:rPr>
        <w:t>(</w:t>
      </w:r>
      <w:r>
        <w:rPr>
          <w:bCs/>
          <w:szCs w:val="20"/>
          <w:lang w:val="it-IT"/>
        </w:rPr>
        <w:t>54</w:t>
      </w:r>
      <w:r w:rsidR="0042651C">
        <w:rPr>
          <w:bCs/>
          <w:szCs w:val="20"/>
          <w:lang w:val="it-IT"/>
        </w:rPr>
        <w:t>%)</w:t>
      </w:r>
      <w:r>
        <w:rPr>
          <w:bCs/>
          <w:szCs w:val="20"/>
          <w:lang w:val="it-IT"/>
        </w:rPr>
        <w:t xml:space="preserve"> </w:t>
      </w:r>
      <w:r w:rsidRPr="002E7A28">
        <w:rPr>
          <w:bCs/>
          <w:szCs w:val="20"/>
          <w:lang w:val="it-IT"/>
        </w:rPr>
        <w:t>prevede</w:t>
      </w:r>
      <w:r>
        <w:rPr>
          <w:bCs/>
          <w:szCs w:val="20"/>
          <w:lang w:val="it-IT"/>
        </w:rPr>
        <w:t xml:space="preserve">, in linea con gli altri </w:t>
      </w:r>
      <w:r w:rsidR="003D4554">
        <w:rPr>
          <w:bCs/>
          <w:szCs w:val="20"/>
          <w:lang w:val="it-IT"/>
        </w:rPr>
        <w:t>P</w:t>
      </w:r>
      <w:r>
        <w:rPr>
          <w:bCs/>
          <w:szCs w:val="20"/>
          <w:lang w:val="it-IT"/>
        </w:rPr>
        <w:t>aesi,</w:t>
      </w:r>
      <w:r w:rsidRPr="002E7A28">
        <w:rPr>
          <w:bCs/>
          <w:szCs w:val="20"/>
          <w:lang w:val="it-IT"/>
        </w:rPr>
        <w:t xml:space="preserve"> che </w:t>
      </w:r>
      <w:r w:rsidRPr="00D02007">
        <w:rPr>
          <w:b/>
          <w:szCs w:val="20"/>
          <w:lang w:val="it-IT"/>
        </w:rPr>
        <w:t xml:space="preserve">i mercati pubblici </w:t>
      </w:r>
      <w:r>
        <w:rPr>
          <w:b/>
          <w:szCs w:val="20"/>
          <w:lang w:val="it-IT"/>
        </w:rPr>
        <w:t>performeranno meglio rispetto a</w:t>
      </w:r>
      <w:r w:rsidRPr="00D02007">
        <w:rPr>
          <w:b/>
          <w:szCs w:val="20"/>
          <w:lang w:val="it-IT"/>
        </w:rPr>
        <w:t xml:space="preserve"> quelli privati nei prossimi 5-10 anni</w:t>
      </w:r>
      <w:r w:rsidRPr="002E7A28">
        <w:rPr>
          <w:bCs/>
          <w:szCs w:val="20"/>
          <w:lang w:val="it-IT"/>
        </w:rPr>
        <w:t>.</w:t>
      </w:r>
    </w:p>
    <w:p w14:paraId="2E426F57" w14:textId="29F191A0" w:rsidR="002E7A28" w:rsidRPr="003D4554" w:rsidRDefault="002E7A28" w:rsidP="00313FE8">
      <w:pPr>
        <w:spacing w:line="240" w:lineRule="auto"/>
        <w:jc w:val="both"/>
        <w:rPr>
          <w:bCs/>
          <w:szCs w:val="20"/>
          <w:lang w:val="it-IT"/>
        </w:rPr>
      </w:pPr>
    </w:p>
    <w:p w14:paraId="467C86F8" w14:textId="77777777" w:rsidR="000D3B04" w:rsidRPr="003D4554" w:rsidRDefault="000D3B04" w:rsidP="000D3B04">
      <w:pPr>
        <w:spacing w:line="240" w:lineRule="auto"/>
        <w:jc w:val="both"/>
        <w:rPr>
          <w:bCs/>
          <w:szCs w:val="20"/>
          <w:lang w:val="it-IT"/>
        </w:rPr>
      </w:pPr>
      <w:r>
        <w:rPr>
          <w:bCs/>
          <w:szCs w:val="20"/>
          <w:lang w:val="it-IT"/>
        </w:rPr>
        <w:t xml:space="preserve">Due sono i fattori che condizionano l‘attenzione ai mercati pubblici: volatilità e inflazione. </w:t>
      </w:r>
      <w:r w:rsidRPr="0065773A">
        <w:rPr>
          <w:b/>
          <w:szCs w:val="20"/>
          <w:lang w:val="it-IT"/>
        </w:rPr>
        <w:t>I</w:t>
      </w:r>
      <w:r w:rsidRPr="007063B7">
        <w:rPr>
          <w:b/>
          <w:szCs w:val="20"/>
          <w:lang w:val="it-IT"/>
        </w:rPr>
        <w:t>l 4</w:t>
      </w:r>
      <w:r>
        <w:rPr>
          <w:b/>
          <w:szCs w:val="20"/>
          <w:lang w:val="it-IT"/>
        </w:rPr>
        <w:t>6</w:t>
      </w:r>
      <w:r w:rsidRPr="007063B7">
        <w:rPr>
          <w:b/>
          <w:szCs w:val="20"/>
          <w:lang w:val="it-IT"/>
        </w:rPr>
        <w:t xml:space="preserve">% degli investitori </w:t>
      </w:r>
      <w:r>
        <w:rPr>
          <w:b/>
          <w:szCs w:val="20"/>
          <w:lang w:val="it-IT"/>
        </w:rPr>
        <w:t xml:space="preserve">internazionali (vs 40% degli </w:t>
      </w:r>
      <w:r w:rsidRPr="007063B7">
        <w:rPr>
          <w:b/>
          <w:szCs w:val="20"/>
          <w:lang w:val="it-IT"/>
        </w:rPr>
        <w:t>italiani</w:t>
      </w:r>
      <w:r>
        <w:rPr>
          <w:b/>
          <w:szCs w:val="20"/>
          <w:lang w:val="it-IT"/>
        </w:rPr>
        <w:t>)</w:t>
      </w:r>
      <w:r w:rsidRPr="007063B7">
        <w:rPr>
          <w:b/>
          <w:szCs w:val="20"/>
          <w:lang w:val="it-IT"/>
        </w:rPr>
        <w:t xml:space="preserve"> sostiene che </w:t>
      </w:r>
      <w:r>
        <w:rPr>
          <w:b/>
          <w:szCs w:val="20"/>
          <w:lang w:val="it-IT"/>
        </w:rPr>
        <w:t xml:space="preserve">l’attuale volatilità dei mercati </w:t>
      </w:r>
      <w:r w:rsidRPr="007063B7">
        <w:rPr>
          <w:b/>
          <w:szCs w:val="20"/>
          <w:lang w:val="it-IT"/>
        </w:rPr>
        <w:t xml:space="preserve">non </w:t>
      </w:r>
      <w:r>
        <w:rPr>
          <w:b/>
          <w:szCs w:val="20"/>
          <w:lang w:val="it-IT"/>
        </w:rPr>
        <w:t>abbia</w:t>
      </w:r>
      <w:r w:rsidRPr="007063B7">
        <w:rPr>
          <w:b/>
          <w:szCs w:val="20"/>
          <w:lang w:val="it-IT"/>
        </w:rPr>
        <w:t xml:space="preserve"> cambiato l'opportunità di investire nei mercati pubblici</w:t>
      </w:r>
      <w:r w:rsidRPr="007063B7">
        <w:rPr>
          <w:bCs/>
          <w:szCs w:val="20"/>
          <w:lang w:val="it-IT"/>
        </w:rPr>
        <w:t>.</w:t>
      </w:r>
      <w:r>
        <w:rPr>
          <w:bCs/>
          <w:szCs w:val="20"/>
          <w:lang w:val="it-IT"/>
        </w:rPr>
        <w:t xml:space="preserve"> Per quanto riguarda l’inflazione, invece</w:t>
      </w:r>
      <w:r w:rsidRPr="0065773A">
        <w:rPr>
          <w:bCs/>
          <w:szCs w:val="20"/>
          <w:lang w:val="it-IT"/>
        </w:rPr>
        <w:t xml:space="preserve">, il 28% degli intervistati a livello globale ha risposto che effettivamente </w:t>
      </w:r>
      <w:r>
        <w:rPr>
          <w:b/>
          <w:szCs w:val="20"/>
          <w:lang w:val="it-IT"/>
        </w:rPr>
        <w:t>essa</w:t>
      </w:r>
      <w:r w:rsidRPr="0065773A">
        <w:rPr>
          <w:b/>
          <w:szCs w:val="20"/>
          <w:lang w:val="it-IT"/>
        </w:rPr>
        <w:t xml:space="preserve"> ha impattato in modo negativo</w:t>
      </w:r>
      <w:r w:rsidRPr="0065773A">
        <w:rPr>
          <w:lang w:val="it-IT"/>
        </w:rPr>
        <w:t xml:space="preserve"> </w:t>
      </w:r>
      <w:r w:rsidRPr="0065773A">
        <w:rPr>
          <w:b/>
          <w:szCs w:val="20"/>
          <w:lang w:val="it-IT"/>
        </w:rPr>
        <w:t>sull’orientamento a investire nei mercati pubblici</w:t>
      </w:r>
      <w:r w:rsidRPr="0065773A">
        <w:rPr>
          <w:bCs/>
          <w:szCs w:val="20"/>
          <w:lang w:val="it-IT"/>
        </w:rPr>
        <w:t xml:space="preserve">. </w:t>
      </w:r>
      <w:r w:rsidRPr="003D4554">
        <w:rPr>
          <w:bCs/>
          <w:szCs w:val="20"/>
          <w:lang w:val="it-IT"/>
        </w:rPr>
        <w:t xml:space="preserve">Questa percentuale sale, in Italia, al 41%. </w:t>
      </w:r>
    </w:p>
    <w:p w14:paraId="2B5E1A08" w14:textId="77777777" w:rsidR="000D3B04" w:rsidRPr="003D4554" w:rsidRDefault="000D3B04" w:rsidP="000D3B04">
      <w:pPr>
        <w:spacing w:line="240" w:lineRule="auto"/>
        <w:jc w:val="both"/>
        <w:rPr>
          <w:bCs/>
          <w:szCs w:val="20"/>
          <w:lang w:val="it-IT"/>
        </w:rPr>
      </w:pPr>
    </w:p>
    <w:p w14:paraId="7B1B1218" w14:textId="3F673CC9" w:rsidR="000D3B04" w:rsidRDefault="000D3B04" w:rsidP="000D3B04">
      <w:pPr>
        <w:spacing w:line="240" w:lineRule="auto"/>
        <w:jc w:val="both"/>
        <w:rPr>
          <w:bCs/>
          <w:szCs w:val="20"/>
          <w:lang w:val="it-IT"/>
        </w:rPr>
      </w:pPr>
      <w:r w:rsidRPr="002E7A28">
        <w:rPr>
          <w:bCs/>
          <w:szCs w:val="20"/>
          <w:lang w:val="it-IT"/>
        </w:rPr>
        <w:t xml:space="preserve">L'interesse per i mercati pubblici è rafforzato dalle priorità di asset allocation degli intervistati per i prossimi tre anni. Infatti, </w:t>
      </w:r>
      <w:r>
        <w:rPr>
          <w:bCs/>
          <w:szCs w:val="20"/>
          <w:lang w:val="it-IT"/>
        </w:rPr>
        <w:t>le azioni e il</w:t>
      </w:r>
      <w:r w:rsidRPr="002E7A28">
        <w:rPr>
          <w:bCs/>
          <w:szCs w:val="20"/>
          <w:lang w:val="it-IT"/>
        </w:rPr>
        <w:t xml:space="preserve"> reddito </w:t>
      </w:r>
      <w:r>
        <w:rPr>
          <w:bCs/>
          <w:szCs w:val="20"/>
          <w:lang w:val="it-IT"/>
        </w:rPr>
        <w:t>fisso</w:t>
      </w:r>
      <w:r w:rsidRPr="002E7A28">
        <w:rPr>
          <w:bCs/>
          <w:szCs w:val="20"/>
          <w:lang w:val="it-IT"/>
        </w:rPr>
        <w:t xml:space="preserve"> </w:t>
      </w:r>
      <w:r>
        <w:rPr>
          <w:bCs/>
          <w:szCs w:val="20"/>
          <w:lang w:val="it-IT"/>
        </w:rPr>
        <w:t>rimangono</w:t>
      </w:r>
      <w:r w:rsidRPr="002E7A28">
        <w:rPr>
          <w:bCs/>
          <w:szCs w:val="20"/>
          <w:lang w:val="it-IT"/>
        </w:rPr>
        <w:t xml:space="preserve"> le scelte principali di allocazione rispettivamente per il 3</w:t>
      </w:r>
      <w:r>
        <w:rPr>
          <w:bCs/>
          <w:szCs w:val="20"/>
          <w:lang w:val="it-IT"/>
        </w:rPr>
        <w:t>1</w:t>
      </w:r>
      <w:r w:rsidRPr="002E7A28">
        <w:rPr>
          <w:bCs/>
          <w:szCs w:val="20"/>
          <w:lang w:val="it-IT"/>
        </w:rPr>
        <w:t>%</w:t>
      </w:r>
      <w:r>
        <w:rPr>
          <w:bCs/>
          <w:szCs w:val="20"/>
          <w:lang w:val="it-IT"/>
        </w:rPr>
        <w:t xml:space="preserve"> e il 26% </w:t>
      </w:r>
      <w:r w:rsidRPr="002E7A28">
        <w:rPr>
          <w:bCs/>
          <w:szCs w:val="20"/>
          <w:lang w:val="it-IT"/>
        </w:rPr>
        <w:t>degli intervistati</w:t>
      </w:r>
      <w:r>
        <w:rPr>
          <w:bCs/>
          <w:szCs w:val="20"/>
          <w:lang w:val="it-IT"/>
        </w:rPr>
        <w:t xml:space="preserve"> a livello internazionale</w:t>
      </w:r>
      <w:r w:rsidRPr="002E7A28">
        <w:rPr>
          <w:bCs/>
          <w:szCs w:val="20"/>
          <w:lang w:val="it-IT"/>
        </w:rPr>
        <w:t xml:space="preserve">, prima di altre </w:t>
      </w:r>
      <w:r>
        <w:rPr>
          <w:bCs/>
          <w:szCs w:val="20"/>
          <w:lang w:val="it-IT"/>
        </w:rPr>
        <w:t>asset class</w:t>
      </w:r>
      <w:r w:rsidRPr="002E7A28">
        <w:rPr>
          <w:bCs/>
          <w:szCs w:val="20"/>
          <w:lang w:val="it-IT"/>
        </w:rPr>
        <w:t xml:space="preserve">. </w:t>
      </w:r>
      <w:r w:rsidRPr="00D02007">
        <w:rPr>
          <w:b/>
          <w:szCs w:val="20"/>
          <w:lang w:val="it-IT"/>
        </w:rPr>
        <w:t xml:space="preserve">L'approccio preferito dalla maggioranza degli intervistati </w:t>
      </w:r>
      <w:r w:rsidRPr="0065773A">
        <w:rPr>
          <w:bCs/>
          <w:szCs w:val="20"/>
          <w:lang w:val="it-IT"/>
        </w:rPr>
        <w:t xml:space="preserve">(76% dato globale </w:t>
      </w:r>
      <w:r>
        <w:rPr>
          <w:bCs/>
          <w:szCs w:val="20"/>
          <w:lang w:val="it-IT"/>
        </w:rPr>
        <w:t xml:space="preserve">vs </w:t>
      </w:r>
      <w:r w:rsidRPr="0065773A">
        <w:rPr>
          <w:bCs/>
          <w:szCs w:val="20"/>
          <w:lang w:val="it-IT"/>
        </w:rPr>
        <w:t xml:space="preserve">78% per gli italiani) </w:t>
      </w:r>
      <w:r w:rsidRPr="00D02007">
        <w:rPr>
          <w:b/>
          <w:szCs w:val="20"/>
          <w:lang w:val="it-IT"/>
        </w:rPr>
        <w:t>è quello attivo</w:t>
      </w:r>
      <w:r w:rsidRPr="002E7A28">
        <w:rPr>
          <w:bCs/>
          <w:szCs w:val="20"/>
          <w:lang w:val="it-IT"/>
        </w:rPr>
        <w:t xml:space="preserve"> rispetto a quello passivo.</w:t>
      </w:r>
    </w:p>
    <w:p w14:paraId="58921223" w14:textId="77777777" w:rsidR="000D3B04" w:rsidRPr="000D3B04" w:rsidRDefault="000D3B04" w:rsidP="000D3B04">
      <w:pPr>
        <w:spacing w:line="240" w:lineRule="auto"/>
        <w:jc w:val="both"/>
        <w:rPr>
          <w:bCs/>
          <w:szCs w:val="20"/>
          <w:lang w:val="it-IT"/>
        </w:rPr>
      </w:pPr>
    </w:p>
    <w:p w14:paraId="338FFFB8" w14:textId="77777777" w:rsidR="000D3B04" w:rsidRPr="000D3B04" w:rsidRDefault="000D3B04" w:rsidP="000D3B04">
      <w:pPr>
        <w:spacing w:line="240" w:lineRule="auto"/>
        <w:jc w:val="both"/>
        <w:rPr>
          <w:b/>
          <w:szCs w:val="20"/>
          <w:lang w:val="it-IT"/>
        </w:rPr>
      </w:pPr>
      <w:r w:rsidRPr="000D3B04">
        <w:rPr>
          <w:b/>
          <w:szCs w:val="20"/>
          <w:lang w:val="it-IT"/>
        </w:rPr>
        <w:t>Investitori a caccia di rendimenti</w:t>
      </w:r>
    </w:p>
    <w:p w14:paraId="365204F8" w14:textId="0171DB44" w:rsidR="000D3B04" w:rsidRDefault="000D3B04" w:rsidP="000D3B04">
      <w:pPr>
        <w:spacing w:line="240" w:lineRule="auto"/>
        <w:jc w:val="both"/>
        <w:rPr>
          <w:bCs/>
          <w:szCs w:val="20"/>
          <w:lang w:val="it-IT"/>
        </w:rPr>
      </w:pPr>
      <w:r w:rsidRPr="00D02007">
        <w:rPr>
          <w:bCs/>
          <w:szCs w:val="20"/>
          <w:lang w:val="it-IT"/>
        </w:rPr>
        <w:t>Aleggia fra gli</w:t>
      </w:r>
      <w:r>
        <w:rPr>
          <w:bCs/>
          <w:szCs w:val="20"/>
          <w:lang w:val="it-IT"/>
        </w:rPr>
        <w:t xml:space="preserve"> investitori un certo grado di pessimismo verso i rendimenti degli investimenti finanziari: </w:t>
      </w:r>
      <w:r w:rsidRPr="00411AEB">
        <w:rPr>
          <w:b/>
          <w:szCs w:val="20"/>
          <w:lang w:val="it-IT"/>
        </w:rPr>
        <w:t>l</w:t>
      </w:r>
      <w:r w:rsidRPr="00FA4C20">
        <w:rPr>
          <w:b/>
          <w:szCs w:val="20"/>
          <w:lang w:val="it-IT"/>
        </w:rPr>
        <w:t>a maggior parte degli intervistati</w:t>
      </w:r>
      <w:r>
        <w:rPr>
          <w:b/>
          <w:szCs w:val="20"/>
          <w:lang w:val="it-IT"/>
        </w:rPr>
        <w:t xml:space="preserve"> a livello internazionale</w:t>
      </w:r>
      <w:r w:rsidRPr="00FA4C20">
        <w:rPr>
          <w:b/>
          <w:szCs w:val="20"/>
          <w:lang w:val="it-IT"/>
        </w:rPr>
        <w:t xml:space="preserve"> (65%)</w:t>
      </w:r>
      <w:r>
        <w:rPr>
          <w:b/>
          <w:szCs w:val="20"/>
          <w:lang w:val="it-IT"/>
        </w:rPr>
        <w:t>, infatti,</w:t>
      </w:r>
      <w:r w:rsidRPr="00FA4C20">
        <w:rPr>
          <w:b/>
          <w:szCs w:val="20"/>
          <w:lang w:val="it-IT"/>
        </w:rPr>
        <w:t xml:space="preserve"> concorda sul fatto che gli investitori </w:t>
      </w:r>
      <w:r w:rsidR="0042651C">
        <w:rPr>
          <w:b/>
          <w:szCs w:val="20"/>
          <w:lang w:val="it-IT"/>
        </w:rPr>
        <w:t>avranno difficoltà a trovare rendiment</w:t>
      </w:r>
      <w:r w:rsidR="007359EB">
        <w:rPr>
          <w:b/>
          <w:szCs w:val="20"/>
          <w:lang w:val="it-IT"/>
        </w:rPr>
        <w:t>i</w:t>
      </w:r>
      <w:r w:rsidRPr="00FA4C20">
        <w:rPr>
          <w:b/>
          <w:szCs w:val="20"/>
          <w:lang w:val="it-IT"/>
        </w:rPr>
        <w:t xml:space="preserve"> a causa dell'inflazione</w:t>
      </w:r>
      <w:r>
        <w:rPr>
          <w:b/>
          <w:szCs w:val="20"/>
          <w:lang w:val="it-IT"/>
        </w:rPr>
        <w:t>,</w:t>
      </w:r>
      <w:r w:rsidRPr="00FA4C20">
        <w:rPr>
          <w:b/>
          <w:szCs w:val="20"/>
          <w:lang w:val="it-IT"/>
        </w:rPr>
        <w:t xml:space="preserve"> per almeno i prossimi tre anni</w:t>
      </w:r>
      <w:r w:rsidRPr="002E7A28">
        <w:rPr>
          <w:bCs/>
          <w:szCs w:val="20"/>
          <w:lang w:val="it-IT"/>
        </w:rPr>
        <w:t xml:space="preserve">. </w:t>
      </w:r>
      <w:r>
        <w:rPr>
          <w:bCs/>
          <w:szCs w:val="20"/>
          <w:lang w:val="it-IT"/>
        </w:rPr>
        <w:t xml:space="preserve">Più ottimisti gli investitori </w:t>
      </w:r>
      <w:r w:rsidRPr="00490046">
        <w:rPr>
          <w:b/>
          <w:szCs w:val="20"/>
          <w:lang w:val="it-IT"/>
        </w:rPr>
        <w:t>italiani</w:t>
      </w:r>
      <w:r>
        <w:rPr>
          <w:bCs/>
          <w:szCs w:val="20"/>
          <w:lang w:val="it-IT"/>
        </w:rPr>
        <w:t xml:space="preserve">: solo il </w:t>
      </w:r>
      <w:r w:rsidRPr="00D02007">
        <w:rPr>
          <w:b/>
          <w:szCs w:val="20"/>
          <w:lang w:val="it-IT"/>
        </w:rPr>
        <w:t>44%</w:t>
      </w:r>
      <w:r>
        <w:rPr>
          <w:b/>
          <w:szCs w:val="20"/>
          <w:lang w:val="it-IT"/>
        </w:rPr>
        <w:t xml:space="preserve">, infatti, è preoccupato per i rendimenti in quell’arco temporale. </w:t>
      </w:r>
      <w:r>
        <w:rPr>
          <w:bCs/>
          <w:szCs w:val="20"/>
          <w:lang w:val="it-IT"/>
        </w:rPr>
        <w:t>Una buona</w:t>
      </w:r>
      <w:r w:rsidRPr="002E7A28">
        <w:rPr>
          <w:bCs/>
          <w:szCs w:val="20"/>
          <w:lang w:val="it-IT"/>
        </w:rPr>
        <w:t xml:space="preserve"> parte degli investitori (39%</w:t>
      </w:r>
      <w:r>
        <w:rPr>
          <w:bCs/>
          <w:szCs w:val="20"/>
          <w:lang w:val="it-IT"/>
        </w:rPr>
        <w:t xml:space="preserve"> internazionali vs 32% degli italiani</w:t>
      </w:r>
      <w:r w:rsidRPr="002E7A28">
        <w:rPr>
          <w:bCs/>
          <w:szCs w:val="20"/>
          <w:lang w:val="it-IT"/>
        </w:rPr>
        <w:t xml:space="preserve">) </w:t>
      </w:r>
      <w:r w:rsidRPr="00490046">
        <w:rPr>
          <w:b/>
          <w:szCs w:val="20"/>
          <w:lang w:val="it-IT"/>
        </w:rPr>
        <w:t xml:space="preserve">prevede che i rendimenti del portafoglio si aggireranno intorno al 5-6% </w:t>
      </w:r>
      <w:r>
        <w:rPr>
          <w:b/>
          <w:szCs w:val="20"/>
          <w:lang w:val="it-IT"/>
        </w:rPr>
        <w:t>per i prossimi 3-5 anni</w:t>
      </w:r>
      <w:r>
        <w:rPr>
          <w:bCs/>
          <w:szCs w:val="20"/>
          <w:lang w:val="it-IT"/>
        </w:rPr>
        <w:t xml:space="preserve">. </w:t>
      </w:r>
    </w:p>
    <w:p w14:paraId="3F657D98" w14:textId="77777777" w:rsidR="000D3B04" w:rsidRPr="000D3B04" w:rsidRDefault="000D3B04" w:rsidP="00271C43">
      <w:pPr>
        <w:spacing w:line="240" w:lineRule="auto"/>
        <w:jc w:val="both"/>
        <w:rPr>
          <w:b/>
          <w:szCs w:val="20"/>
          <w:lang w:val="it-IT"/>
        </w:rPr>
      </w:pPr>
    </w:p>
    <w:p w14:paraId="6365A313" w14:textId="618BE0DB" w:rsidR="000D3B04" w:rsidRPr="000D3B04" w:rsidRDefault="000D3B04" w:rsidP="00CA576D">
      <w:pPr>
        <w:spacing w:line="240" w:lineRule="auto"/>
        <w:jc w:val="both"/>
        <w:rPr>
          <w:bCs/>
          <w:szCs w:val="20"/>
          <w:lang w:val="it-IT"/>
        </w:rPr>
      </w:pPr>
      <w:r>
        <w:rPr>
          <w:bCs/>
          <w:szCs w:val="20"/>
          <w:lang w:val="it-IT"/>
        </w:rPr>
        <w:t>Dalla ricerca emerge, inoltre che è in aumento l</w:t>
      </w:r>
      <w:r w:rsidRPr="00874A24">
        <w:rPr>
          <w:lang w:val="it-IT"/>
        </w:rPr>
        <w:t xml:space="preserve">'interesse per i titoli value, con il </w:t>
      </w:r>
      <w:r>
        <w:rPr>
          <w:lang w:val="it-IT"/>
        </w:rPr>
        <w:t>28</w:t>
      </w:r>
      <w:r w:rsidRPr="00874A24">
        <w:rPr>
          <w:lang w:val="it-IT"/>
        </w:rPr>
        <w:t xml:space="preserve">% degli investitori wholesale </w:t>
      </w:r>
      <w:r>
        <w:rPr>
          <w:lang w:val="it-IT"/>
        </w:rPr>
        <w:t xml:space="preserve">a livello internazionale </w:t>
      </w:r>
      <w:r w:rsidRPr="00874A24">
        <w:rPr>
          <w:lang w:val="it-IT"/>
        </w:rPr>
        <w:t>che attualmente si dedica a questo stile e il 3</w:t>
      </w:r>
      <w:r>
        <w:rPr>
          <w:lang w:val="it-IT"/>
        </w:rPr>
        <w:t>3</w:t>
      </w:r>
      <w:r w:rsidRPr="00874A24">
        <w:rPr>
          <w:lang w:val="it-IT"/>
        </w:rPr>
        <w:t xml:space="preserve">% che prevede di farlo nei prossimi 1-3 anni. </w:t>
      </w:r>
      <w:r w:rsidRPr="00346418">
        <w:rPr>
          <w:b/>
          <w:bCs/>
          <w:lang w:val="it-IT"/>
        </w:rPr>
        <w:t>A livello globale l’attenzione sarà catalizzata dai titoli large cap (42%)</w:t>
      </w:r>
      <w:r>
        <w:rPr>
          <w:lang w:val="it-IT"/>
        </w:rPr>
        <w:t xml:space="preserve">, seguiti da SMID (33%) e </w:t>
      </w:r>
      <w:r>
        <w:rPr>
          <w:lang w:val="it-IT"/>
        </w:rPr>
        <w:lastRenderedPageBreak/>
        <w:t xml:space="preserve">small cap (25%). Sensibilmente diverse le risposte degli </w:t>
      </w:r>
      <w:r w:rsidRPr="00346418">
        <w:rPr>
          <w:b/>
          <w:bCs/>
          <w:lang w:val="it-IT"/>
        </w:rPr>
        <w:t>investitori wholesale italiani, il 47% dei quali ha affermato che prevede di investire in SMID</w:t>
      </w:r>
      <w:r>
        <w:rPr>
          <w:lang w:val="it-IT"/>
        </w:rPr>
        <w:t>, il 37% in large cap e il 16% in small cap nei prossimi 1-3 anni.</w:t>
      </w:r>
    </w:p>
    <w:p w14:paraId="2E22E5CC" w14:textId="0BD6886C" w:rsidR="00CB044F" w:rsidRPr="000D3B04" w:rsidRDefault="00CB044F" w:rsidP="00874A24">
      <w:pPr>
        <w:spacing w:line="240" w:lineRule="auto"/>
        <w:jc w:val="both"/>
        <w:rPr>
          <w:bCs/>
          <w:szCs w:val="20"/>
          <w:lang w:val="it-IT"/>
        </w:rPr>
      </w:pPr>
    </w:p>
    <w:p w14:paraId="3CE50F0C" w14:textId="0952C64E" w:rsidR="000D3B04" w:rsidRDefault="000D3B04" w:rsidP="000D3B04">
      <w:pPr>
        <w:jc w:val="both"/>
        <w:rPr>
          <w:lang w:val="it-IT"/>
        </w:rPr>
      </w:pPr>
      <w:r w:rsidRPr="002E7A28">
        <w:rPr>
          <w:lang w:val="it-IT"/>
        </w:rPr>
        <w:t xml:space="preserve">Gli investitori </w:t>
      </w:r>
      <w:r>
        <w:rPr>
          <w:lang w:val="it-IT"/>
        </w:rPr>
        <w:t>w</w:t>
      </w:r>
      <w:r w:rsidRPr="00637FCF">
        <w:rPr>
          <w:lang w:val="it-IT"/>
        </w:rPr>
        <w:t xml:space="preserve">holesale </w:t>
      </w:r>
      <w:r>
        <w:rPr>
          <w:lang w:val="it-IT"/>
        </w:rPr>
        <w:t xml:space="preserve">a livello internazionale </w:t>
      </w:r>
      <w:r w:rsidRPr="002E7A28">
        <w:rPr>
          <w:lang w:val="it-IT"/>
        </w:rPr>
        <w:t>prevedono che il Nord America (25%) e la Cina (27%) registreranno il più grande rally azionario nei prossimi cinque anni, anche se ci sono segnali di uno spostamento verso l'Europa.</w:t>
      </w:r>
      <w:r>
        <w:rPr>
          <w:lang w:val="it-IT"/>
        </w:rPr>
        <w:t xml:space="preserve"> Molto più elevata</w:t>
      </w:r>
      <w:r w:rsidR="00D45912">
        <w:rPr>
          <w:lang w:val="it-IT"/>
        </w:rPr>
        <w:t xml:space="preserve">, pari </w:t>
      </w:r>
      <w:r w:rsidR="00D45912" w:rsidRPr="00D45912">
        <w:rPr>
          <w:b/>
          <w:bCs/>
          <w:lang w:val="it-IT"/>
        </w:rPr>
        <w:t>al 39%,</w:t>
      </w:r>
      <w:r w:rsidRPr="00D45912">
        <w:rPr>
          <w:b/>
          <w:bCs/>
          <w:lang w:val="it-IT"/>
        </w:rPr>
        <w:t xml:space="preserve"> la</w:t>
      </w:r>
      <w:r>
        <w:rPr>
          <w:lang w:val="it-IT"/>
        </w:rPr>
        <w:t xml:space="preserve"> </w:t>
      </w:r>
      <w:r w:rsidRPr="00AD7F16">
        <w:rPr>
          <w:b/>
          <w:bCs/>
          <w:lang w:val="it-IT"/>
        </w:rPr>
        <w:t>percentuale di investitori italiani che punta sulla Cina</w:t>
      </w:r>
      <w:r>
        <w:rPr>
          <w:lang w:val="it-IT"/>
        </w:rPr>
        <w:t xml:space="preserve">.  </w:t>
      </w:r>
    </w:p>
    <w:p w14:paraId="5E11A7F2" w14:textId="77777777" w:rsidR="00F90622" w:rsidRPr="000D3B04" w:rsidRDefault="00F90622" w:rsidP="00874A24">
      <w:pPr>
        <w:spacing w:line="240" w:lineRule="auto"/>
        <w:jc w:val="both"/>
        <w:rPr>
          <w:lang w:val="it-IT"/>
        </w:rPr>
      </w:pPr>
    </w:p>
    <w:p w14:paraId="38083FB4" w14:textId="2ACED808" w:rsidR="00D45912" w:rsidRDefault="00D45912" w:rsidP="00D45912">
      <w:pPr>
        <w:jc w:val="both"/>
        <w:rPr>
          <w:lang w:val="it-IT"/>
        </w:rPr>
      </w:pPr>
      <w:r w:rsidRPr="00637FCF">
        <w:rPr>
          <w:lang w:val="it-IT"/>
        </w:rPr>
        <w:t xml:space="preserve">La stragrande maggioranza (86%) degli investitori wholesale ritiene che i </w:t>
      </w:r>
      <w:r w:rsidRPr="001D66FC">
        <w:rPr>
          <w:b/>
          <w:bCs/>
          <w:lang w:val="it-IT"/>
        </w:rPr>
        <w:t>mercati emergenti siano pronti a crescere, percentuale che arriva al 94% in Italia</w:t>
      </w:r>
      <w:r w:rsidRPr="00637FCF">
        <w:rPr>
          <w:lang w:val="it-IT"/>
        </w:rPr>
        <w:t xml:space="preserve">. </w:t>
      </w:r>
      <w:r>
        <w:rPr>
          <w:lang w:val="it-IT"/>
        </w:rPr>
        <w:t>Più della metà</w:t>
      </w:r>
      <w:r w:rsidRPr="00637FCF">
        <w:rPr>
          <w:lang w:val="it-IT"/>
        </w:rPr>
        <w:t xml:space="preserve"> </w:t>
      </w:r>
      <w:r>
        <w:rPr>
          <w:lang w:val="it-IT"/>
        </w:rPr>
        <w:t>(</w:t>
      </w:r>
      <w:r w:rsidRPr="00637FCF">
        <w:rPr>
          <w:lang w:val="it-IT"/>
        </w:rPr>
        <w:t>58%</w:t>
      </w:r>
      <w:r>
        <w:rPr>
          <w:lang w:val="it-IT"/>
        </w:rPr>
        <w:t>)</w:t>
      </w:r>
      <w:r w:rsidRPr="00637FCF">
        <w:rPr>
          <w:lang w:val="it-IT"/>
        </w:rPr>
        <w:t xml:space="preserve"> degli intervistati </w:t>
      </w:r>
      <w:r>
        <w:rPr>
          <w:lang w:val="it-IT"/>
        </w:rPr>
        <w:t xml:space="preserve">a livello internazionale </w:t>
      </w:r>
      <w:r w:rsidRPr="00637FCF">
        <w:rPr>
          <w:lang w:val="it-IT"/>
        </w:rPr>
        <w:t>ha dichiarato di voler capitalizzare quest</w:t>
      </w:r>
      <w:r>
        <w:rPr>
          <w:lang w:val="it-IT"/>
        </w:rPr>
        <w:t>o trend</w:t>
      </w:r>
      <w:r w:rsidRPr="00637FCF">
        <w:rPr>
          <w:lang w:val="it-IT"/>
        </w:rPr>
        <w:t xml:space="preserve">. </w:t>
      </w:r>
    </w:p>
    <w:p w14:paraId="6AF3826F" w14:textId="77777777" w:rsidR="00D45912" w:rsidRDefault="00D45912" w:rsidP="001D66FC">
      <w:pPr>
        <w:jc w:val="both"/>
        <w:rPr>
          <w:lang w:val="it-IT"/>
        </w:rPr>
      </w:pPr>
    </w:p>
    <w:p w14:paraId="7B310FFE" w14:textId="77777777" w:rsidR="00D45912" w:rsidRPr="00637FCF" w:rsidRDefault="00D45912" w:rsidP="00D45912">
      <w:pPr>
        <w:jc w:val="both"/>
        <w:rPr>
          <w:lang w:val="it-IT"/>
        </w:rPr>
      </w:pPr>
      <w:r>
        <w:rPr>
          <w:lang w:val="it-IT"/>
        </w:rPr>
        <w:t xml:space="preserve">Sul fronte </w:t>
      </w:r>
      <w:r w:rsidRPr="00874A24">
        <w:rPr>
          <w:b/>
          <w:bCs/>
          <w:lang w:val="it-IT"/>
        </w:rPr>
        <w:t>obbligazionario</w:t>
      </w:r>
      <w:r>
        <w:rPr>
          <w:b/>
          <w:bCs/>
          <w:lang w:val="it-IT"/>
        </w:rPr>
        <w:t>,</w:t>
      </w:r>
      <w:r w:rsidRPr="00874A24">
        <w:rPr>
          <w:lang w:val="it-IT"/>
        </w:rPr>
        <w:t xml:space="preserve"> l’</w:t>
      </w:r>
      <w:r w:rsidRPr="00130D98">
        <w:rPr>
          <w:b/>
          <w:bCs/>
          <w:lang w:val="it-IT"/>
        </w:rPr>
        <w:t xml:space="preserve">absolute return </w:t>
      </w:r>
      <w:r>
        <w:rPr>
          <w:b/>
          <w:bCs/>
          <w:lang w:val="it-IT"/>
        </w:rPr>
        <w:t>si conferma</w:t>
      </w:r>
      <w:r w:rsidRPr="00130D98">
        <w:rPr>
          <w:b/>
          <w:bCs/>
          <w:lang w:val="it-IT"/>
        </w:rPr>
        <w:t xml:space="preserve"> lo stile di investimento a reddito fisso preferito da oltre un terzo (3</w:t>
      </w:r>
      <w:r>
        <w:rPr>
          <w:b/>
          <w:bCs/>
          <w:lang w:val="it-IT"/>
        </w:rPr>
        <w:t>7</w:t>
      </w:r>
      <w:r w:rsidRPr="00130D98">
        <w:rPr>
          <w:b/>
          <w:bCs/>
          <w:lang w:val="it-IT"/>
        </w:rPr>
        <w:t xml:space="preserve">%) </w:t>
      </w:r>
      <w:r w:rsidRPr="00130D98">
        <w:rPr>
          <w:lang w:val="it-IT"/>
        </w:rPr>
        <w:t>degli intervistati</w:t>
      </w:r>
      <w:r w:rsidRPr="00874A24">
        <w:rPr>
          <w:lang w:val="it-IT"/>
        </w:rPr>
        <w:t>.</w:t>
      </w:r>
      <w:r>
        <w:rPr>
          <w:lang w:val="it-IT"/>
        </w:rPr>
        <w:t xml:space="preserve"> </w:t>
      </w:r>
    </w:p>
    <w:p w14:paraId="2B4B58F5" w14:textId="77777777" w:rsidR="00D45912" w:rsidRDefault="00D45912" w:rsidP="00874A24">
      <w:pPr>
        <w:jc w:val="both"/>
        <w:rPr>
          <w:lang w:val="it-IT"/>
        </w:rPr>
      </w:pPr>
    </w:p>
    <w:p w14:paraId="682DB7D3" w14:textId="77777777" w:rsidR="00787BE7" w:rsidRPr="00787BE7" w:rsidRDefault="00787BE7" w:rsidP="00787BE7">
      <w:pPr>
        <w:jc w:val="both"/>
        <w:rPr>
          <w:b/>
          <w:bCs/>
          <w:lang w:val="it-IT"/>
        </w:rPr>
      </w:pPr>
      <w:r w:rsidRPr="00787BE7">
        <w:rPr>
          <w:b/>
          <w:bCs/>
          <w:lang w:val="it-IT"/>
        </w:rPr>
        <w:t>L’approccio ESG</w:t>
      </w:r>
    </w:p>
    <w:p w14:paraId="3CF1F870" w14:textId="59EA1972" w:rsidR="00787BE7" w:rsidRPr="00874A24" w:rsidRDefault="00787BE7" w:rsidP="00787BE7">
      <w:pPr>
        <w:jc w:val="both"/>
        <w:rPr>
          <w:lang w:val="it-IT"/>
        </w:rPr>
      </w:pPr>
      <w:r w:rsidRPr="00874A24">
        <w:rPr>
          <w:lang w:val="it-IT"/>
        </w:rPr>
        <w:t xml:space="preserve">Infine, </w:t>
      </w:r>
      <w:r>
        <w:rPr>
          <w:lang w:val="it-IT"/>
        </w:rPr>
        <w:t>sul fronte</w:t>
      </w:r>
      <w:r>
        <w:rPr>
          <w:b/>
          <w:bCs/>
          <w:lang w:val="it-IT"/>
        </w:rPr>
        <w:t xml:space="preserve"> </w:t>
      </w:r>
      <w:r w:rsidRPr="00874A24">
        <w:rPr>
          <w:b/>
          <w:bCs/>
          <w:lang w:val="it-IT"/>
        </w:rPr>
        <w:t>ESG</w:t>
      </w:r>
      <w:r>
        <w:rPr>
          <w:lang w:val="it-IT"/>
        </w:rPr>
        <w:t>,</w:t>
      </w:r>
      <w:r w:rsidRPr="00874A24">
        <w:rPr>
          <w:lang w:val="it-IT"/>
        </w:rPr>
        <w:t xml:space="preserve"> </w:t>
      </w:r>
      <w:r w:rsidRPr="008F62F1">
        <w:rPr>
          <w:b/>
          <w:bCs/>
          <w:lang w:val="it-IT"/>
        </w:rPr>
        <w:t>la maggioranza degli investitori (5</w:t>
      </w:r>
      <w:r>
        <w:rPr>
          <w:b/>
          <w:bCs/>
          <w:lang w:val="it-IT"/>
        </w:rPr>
        <w:t>7</w:t>
      </w:r>
      <w:r w:rsidRPr="008F62F1">
        <w:rPr>
          <w:b/>
          <w:bCs/>
          <w:lang w:val="it-IT"/>
        </w:rPr>
        <w:t>%) considera tuttora l'ESG un fattore importante</w:t>
      </w:r>
      <w:r>
        <w:rPr>
          <w:lang w:val="it-IT"/>
        </w:rPr>
        <w:t>. L’invasione russa dell’</w:t>
      </w:r>
      <w:r w:rsidRPr="00874A24">
        <w:rPr>
          <w:lang w:val="it-IT"/>
        </w:rPr>
        <w:t xml:space="preserve">Ucraina </w:t>
      </w:r>
      <w:r>
        <w:rPr>
          <w:lang w:val="it-IT"/>
        </w:rPr>
        <w:t xml:space="preserve">ha </w:t>
      </w:r>
      <w:r w:rsidRPr="00874A24">
        <w:rPr>
          <w:lang w:val="it-IT"/>
        </w:rPr>
        <w:t xml:space="preserve">avuto una grande influenza nel determinare </w:t>
      </w:r>
      <w:r>
        <w:rPr>
          <w:lang w:val="it-IT"/>
        </w:rPr>
        <w:t>una crescita dell’</w:t>
      </w:r>
      <w:r w:rsidRPr="00874A24">
        <w:rPr>
          <w:lang w:val="it-IT"/>
        </w:rPr>
        <w:t>interesse</w:t>
      </w:r>
      <w:r>
        <w:rPr>
          <w:lang w:val="it-IT"/>
        </w:rPr>
        <w:t>. L</w:t>
      </w:r>
      <w:r w:rsidRPr="00874A24">
        <w:rPr>
          <w:lang w:val="it-IT"/>
        </w:rPr>
        <w:t xml:space="preserve">e </w:t>
      </w:r>
      <w:r w:rsidRPr="008F62F1">
        <w:rPr>
          <w:b/>
          <w:bCs/>
          <w:lang w:val="it-IT"/>
        </w:rPr>
        <w:t>preoccupazioni relative alle catene di approvvigionamento</w:t>
      </w:r>
      <w:r w:rsidRPr="00874A24">
        <w:rPr>
          <w:lang w:val="it-IT"/>
        </w:rPr>
        <w:t xml:space="preserve"> sono il principale fattore di </w:t>
      </w:r>
      <w:r>
        <w:rPr>
          <w:lang w:val="it-IT"/>
        </w:rPr>
        <w:t>crescente</w:t>
      </w:r>
      <w:r w:rsidRPr="00874A24">
        <w:rPr>
          <w:lang w:val="it-IT"/>
        </w:rPr>
        <w:t xml:space="preserve"> interesse per i fattori ESG tra gli investitori wholesale </w:t>
      </w:r>
      <w:r>
        <w:rPr>
          <w:lang w:val="it-IT"/>
        </w:rPr>
        <w:t xml:space="preserve">a livello internazionale </w:t>
      </w:r>
      <w:r w:rsidRPr="00874A24">
        <w:rPr>
          <w:lang w:val="it-IT"/>
        </w:rPr>
        <w:t>(6</w:t>
      </w:r>
      <w:r>
        <w:rPr>
          <w:lang w:val="it-IT"/>
        </w:rPr>
        <w:t>8</w:t>
      </w:r>
      <w:r w:rsidRPr="00874A24">
        <w:rPr>
          <w:lang w:val="it-IT"/>
        </w:rPr>
        <w:t xml:space="preserve">%), seguite dalla </w:t>
      </w:r>
      <w:r w:rsidRPr="008F62F1">
        <w:rPr>
          <w:b/>
          <w:bCs/>
          <w:lang w:val="it-IT"/>
        </w:rPr>
        <w:t>riduzione della dipendenza dal petrolio e dal gas russo</w:t>
      </w:r>
      <w:r w:rsidRPr="00874A24">
        <w:rPr>
          <w:lang w:val="it-IT"/>
        </w:rPr>
        <w:t xml:space="preserve"> (45%).</w:t>
      </w:r>
    </w:p>
    <w:p w14:paraId="1E0F3590" w14:textId="77777777" w:rsidR="00787BE7" w:rsidRDefault="00787BE7" w:rsidP="00874A24">
      <w:pPr>
        <w:jc w:val="both"/>
        <w:rPr>
          <w:b/>
          <w:bCs/>
          <w:lang w:val="it-IT"/>
        </w:rPr>
      </w:pPr>
    </w:p>
    <w:p w14:paraId="51B55B41" w14:textId="1CC9E8E5" w:rsidR="00787BE7" w:rsidRDefault="00787BE7" w:rsidP="003D4554">
      <w:pPr>
        <w:spacing w:line="240" w:lineRule="auto"/>
        <w:jc w:val="both"/>
        <w:rPr>
          <w:szCs w:val="20"/>
          <w:lang w:val="it-IT"/>
        </w:rPr>
      </w:pPr>
      <w:r w:rsidRPr="00637FCF">
        <w:rPr>
          <w:szCs w:val="20"/>
          <w:lang w:val="it-IT"/>
        </w:rPr>
        <w:t xml:space="preserve">Commentando i risultati della ricerca, </w:t>
      </w:r>
      <w:r w:rsidRPr="00787BE7">
        <w:rPr>
          <w:b/>
          <w:bCs/>
          <w:szCs w:val="20"/>
          <w:lang w:val="it-IT"/>
        </w:rPr>
        <w:t>Tommaso De Giuseppe,</w:t>
      </w:r>
      <w:r w:rsidRPr="00787BE7">
        <w:rPr>
          <w:rFonts w:ascii="Segoe UI" w:hAnsi="Segoe UI" w:cs="Segoe UI"/>
          <w:b/>
          <w:bCs/>
          <w:color w:val="262626"/>
          <w:sz w:val="21"/>
          <w:szCs w:val="21"/>
          <w:lang w:val="it-IT"/>
        </w:rPr>
        <w:t xml:space="preserve"> </w:t>
      </w:r>
      <w:r w:rsidR="00035B6D">
        <w:rPr>
          <w:rFonts w:ascii="Segoe UI" w:hAnsi="Segoe UI" w:cs="Segoe UI"/>
          <w:b/>
          <w:bCs/>
          <w:color w:val="262626"/>
          <w:sz w:val="21"/>
          <w:szCs w:val="21"/>
          <w:lang w:val="it-IT"/>
        </w:rPr>
        <w:t xml:space="preserve">Partner, </w:t>
      </w:r>
      <w:r w:rsidRPr="00787BE7">
        <w:rPr>
          <w:b/>
          <w:bCs/>
          <w:szCs w:val="20"/>
          <w:lang w:val="it-IT"/>
        </w:rPr>
        <w:t xml:space="preserve">Head of Sales - Italy </w:t>
      </w:r>
      <w:r>
        <w:rPr>
          <w:b/>
          <w:bCs/>
          <w:szCs w:val="20"/>
          <w:lang w:val="it-IT"/>
        </w:rPr>
        <w:t>di</w:t>
      </w:r>
      <w:r w:rsidRPr="00787BE7">
        <w:rPr>
          <w:b/>
          <w:bCs/>
          <w:szCs w:val="20"/>
          <w:lang w:val="it-IT"/>
        </w:rPr>
        <w:t xml:space="preserve"> RBC BlueBay Asset Management</w:t>
      </w:r>
      <w:r w:rsidRPr="00637FCF">
        <w:rPr>
          <w:szCs w:val="20"/>
          <w:lang w:val="it-IT"/>
        </w:rPr>
        <w:t>, ha dichiarato: "</w:t>
      </w:r>
      <w:r w:rsidR="00EF1A0B" w:rsidRPr="000E2A11">
        <w:rPr>
          <w:i/>
          <w:iCs/>
          <w:szCs w:val="20"/>
          <w:lang w:val="it-IT"/>
        </w:rPr>
        <w:t>In un contesto di maggiore volatilità, la nostra ricerca suggerisce che la maggior parte degli investitori wholesale continua a preferire la gestione attiva, cercando una maggiore flessibilità nei portafogli per affrontare questi tempi incerti. La ricerca suggerisce inoltre che il tanto atteso boom delle allocazioni sui mercati privati potrebbe verificarsi più lentamente del previsto, in quanto gli investitori cercano prima di tutto di risolvere gli squilibri di portafoglio causati dai re-pricing del mercato attraverso le allocazioni sui mercati pubblici</w:t>
      </w:r>
      <w:r w:rsidRPr="003D4554">
        <w:rPr>
          <w:szCs w:val="20"/>
          <w:lang w:val="it-IT"/>
        </w:rPr>
        <w:t>".</w:t>
      </w:r>
    </w:p>
    <w:p w14:paraId="508FB102" w14:textId="77777777" w:rsidR="00EF1A0B" w:rsidRDefault="00EF1A0B" w:rsidP="003D4554">
      <w:pPr>
        <w:spacing w:line="240" w:lineRule="auto"/>
        <w:jc w:val="both"/>
        <w:rPr>
          <w:szCs w:val="20"/>
          <w:lang w:val="it-IT"/>
        </w:rPr>
      </w:pPr>
    </w:p>
    <w:p w14:paraId="0239BC7C" w14:textId="2A142EC2" w:rsidR="006B76BD" w:rsidRPr="00E150EE" w:rsidRDefault="006B76BD" w:rsidP="006B76BD">
      <w:pPr>
        <w:pStyle w:val="Default"/>
        <w:rPr>
          <w:sz w:val="20"/>
          <w:szCs w:val="20"/>
          <w:lang w:val="it-IT"/>
        </w:rPr>
      </w:pPr>
      <w:r w:rsidRPr="00E150EE">
        <w:rPr>
          <w:sz w:val="20"/>
          <w:szCs w:val="20"/>
          <w:lang w:val="it-IT"/>
        </w:rPr>
        <w:t xml:space="preserve">La ricerca completa è disponibile a questo link, </w:t>
      </w:r>
      <w:hyperlink r:id="rId11" w:history="1">
        <w:r w:rsidRPr="00E150EE">
          <w:rPr>
            <w:rStyle w:val="Collegamentoipertestuale"/>
            <w:i/>
            <w:iCs/>
            <w:sz w:val="20"/>
            <w:szCs w:val="20"/>
            <w:lang w:val="it-IT"/>
          </w:rPr>
          <w:t>Megatrends 2022: Turmoil fails to derail long-term investment trends</w:t>
        </w:r>
      </w:hyperlink>
      <w:r w:rsidRPr="00E150EE">
        <w:rPr>
          <w:i/>
          <w:iCs/>
          <w:sz w:val="20"/>
          <w:szCs w:val="20"/>
          <w:lang w:val="it-IT"/>
        </w:rPr>
        <w:t>.</w:t>
      </w:r>
      <w:r w:rsidRPr="00E150EE">
        <w:rPr>
          <w:sz w:val="20"/>
          <w:szCs w:val="20"/>
          <w:lang w:val="it-IT"/>
        </w:rPr>
        <w:t xml:space="preserve"> </w:t>
      </w:r>
    </w:p>
    <w:p w14:paraId="32AABE74" w14:textId="5FC6D4DF" w:rsidR="007E6083" w:rsidRPr="00E150EE" w:rsidRDefault="007E6083" w:rsidP="007E6083">
      <w:pPr>
        <w:spacing w:line="240" w:lineRule="auto"/>
        <w:rPr>
          <w:lang w:val="it-IT"/>
        </w:rPr>
      </w:pPr>
    </w:p>
    <w:p w14:paraId="0B5751E2" w14:textId="77777777" w:rsidR="000D0192" w:rsidRPr="0042651C" w:rsidRDefault="000D0192" w:rsidP="000D0192">
      <w:pPr>
        <w:rPr>
          <w:b/>
          <w:bCs/>
          <w:lang w:val="it-IT"/>
        </w:rPr>
      </w:pPr>
      <w:bookmarkStart w:id="7" w:name="_Hlk119598531"/>
      <w:r w:rsidRPr="003D4554">
        <w:rPr>
          <w:b/>
          <w:bCs/>
          <w:vertAlign w:val="superscript"/>
          <w:lang w:val="it-IT"/>
        </w:rPr>
        <w:t>1</w:t>
      </w:r>
      <w:bookmarkEnd w:id="7"/>
      <w:r w:rsidRPr="0042651C">
        <w:rPr>
          <w:b/>
          <w:bCs/>
          <w:lang w:val="it-IT"/>
        </w:rPr>
        <w:t>Metodologia della ricerca</w:t>
      </w:r>
    </w:p>
    <w:p w14:paraId="111915E7" w14:textId="70650DD1" w:rsidR="000D0192" w:rsidRPr="0042651C" w:rsidRDefault="000D0192" w:rsidP="000D0192">
      <w:pPr>
        <w:rPr>
          <w:lang w:val="it-IT"/>
        </w:rPr>
      </w:pPr>
      <w:r w:rsidRPr="0042651C">
        <w:rPr>
          <w:lang w:val="it-IT"/>
        </w:rPr>
        <w:t>Il sondaggio è stato condotto tra il 1° settembre e il 12 ottobre 2022 dalla società di ricerca Opinium Research per conto di RBC BlueBay Asset Management. Sono state raccolte le opinioni di 800 investitori wholesale nel Regno Unito (100 intervistati), in Germania (100 intervistati), in Italia (100 intervistati), in Svizzera (100 intervistati), in Spagna (100 intervistati), nei Paesi nordici (100 intervistati) e negli Stati Uniti (200 intervistati).</w:t>
      </w:r>
    </w:p>
    <w:p w14:paraId="6FCFEEBA" w14:textId="77777777" w:rsidR="000D0192" w:rsidRPr="0042651C" w:rsidRDefault="000D0192" w:rsidP="000D0192">
      <w:pPr>
        <w:rPr>
          <w:lang w:val="it-IT"/>
        </w:rPr>
      </w:pPr>
    </w:p>
    <w:p w14:paraId="69E160C0" w14:textId="77777777" w:rsidR="00D91397" w:rsidRPr="003D4554" w:rsidRDefault="00D91397" w:rsidP="007E6083">
      <w:pPr>
        <w:spacing w:line="240" w:lineRule="auto"/>
        <w:rPr>
          <w:szCs w:val="20"/>
          <w:lang w:val="it-IT"/>
        </w:rPr>
      </w:pPr>
    </w:p>
    <w:bookmarkEnd w:id="4"/>
    <w:bookmarkEnd w:id="5"/>
    <w:bookmarkEnd w:id="6"/>
    <w:p w14:paraId="7A7810D6" w14:textId="77777777" w:rsidR="00B64FAF" w:rsidRPr="00401161" w:rsidRDefault="00B64FAF" w:rsidP="00B64FAF">
      <w:pPr>
        <w:pStyle w:val="Titolo3"/>
        <w:rPr>
          <w:lang w:val="it-IT"/>
        </w:rPr>
      </w:pPr>
      <w:r w:rsidRPr="00401161">
        <w:rPr>
          <w:lang w:val="it-IT"/>
        </w:rPr>
        <w:t>Contatti stampa</w:t>
      </w:r>
    </w:p>
    <w:p w14:paraId="6B2AD235" w14:textId="46D5294A" w:rsidR="00B64FAF" w:rsidRPr="00401161" w:rsidRDefault="00B64FAF" w:rsidP="00B64FAF">
      <w:pPr>
        <w:tabs>
          <w:tab w:val="right" w:pos="9900"/>
        </w:tabs>
        <w:rPr>
          <w:rFonts w:eastAsia="Cambria" w:cs="Calibri"/>
          <w:sz w:val="22"/>
          <w:lang w:val="it-IT"/>
        </w:rPr>
      </w:pPr>
      <w:r w:rsidRPr="00401161">
        <w:rPr>
          <w:rFonts w:eastAsia="Cambria" w:cs="Calibri"/>
          <w:sz w:val="22"/>
          <w:lang w:val="it-IT"/>
        </w:rPr>
        <w:t xml:space="preserve">Verini &amp; Associati – </w:t>
      </w:r>
      <w:hyperlink r:id="rId12" w:history="1">
        <w:r w:rsidR="0052497A" w:rsidRPr="00401161">
          <w:rPr>
            <w:rStyle w:val="Collegamentoipertestuale"/>
            <w:lang w:val="it-IT"/>
          </w:rPr>
          <w:t>rbcbluebay@verinieassociati.com</w:t>
        </w:r>
      </w:hyperlink>
      <w:r w:rsidR="0052497A" w:rsidRPr="00401161">
        <w:rPr>
          <w:lang w:val="it-IT"/>
        </w:rPr>
        <w:t xml:space="preserve"> </w:t>
      </w:r>
    </w:p>
    <w:p w14:paraId="64CF2DD1" w14:textId="77777777" w:rsidR="00B64FAF" w:rsidRPr="00401161" w:rsidRDefault="00B64FAF" w:rsidP="00B64FAF">
      <w:pPr>
        <w:rPr>
          <w:lang w:val="it-IT"/>
        </w:rPr>
      </w:pPr>
    </w:p>
    <w:p w14:paraId="7B1DA0C9" w14:textId="77777777" w:rsidR="00B64FAF" w:rsidRPr="00401161" w:rsidDel="00711B58" w:rsidRDefault="00B64FAF" w:rsidP="00B64FAF">
      <w:pPr>
        <w:rPr>
          <w:szCs w:val="20"/>
          <w:lang w:val="it-IT"/>
        </w:rPr>
      </w:pPr>
    </w:p>
    <w:p w14:paraId="3AAE3482" w14:textId="77777777" w:rsidR="00B64FAF" w:rsidRPr="00401161" w:rsidRDefault="00B64FAF" w:rsidP="00B64FAF">
      <w:pPr>
        <w:rPr>
          <w:rFonts w:eastAsiaTheme="majorEastAsia" w:cstheme="majorBidi"/>
          <w:b/>
          <w:color w:val="003168" w:themeColor="accent1"/>
          <w:szCs w:val="24"/>
          <w:lang w:val="it-IT"/>
        </w:rPr>
      </w:pPr>
      <w:r w:rsidRPr="00401161">
        <w:rPr>
          <w:rFonts w:eastAsiaTheme="majorEastAsia" w:cstheme="majorBidi"/>
          <w:b/>
          <w:color w:val="003168" w:themeColor="accent1"/>
          <w:szCs w:val="24"/>
          <w:lang w:val="it-IT"/>
        </w:rPr>
        <w:t>RBC BlueBay Asset Management</w:t>
      </w:r>
    </w:p>
    <w:p w14:paraId="482131DF" w14:textId="77777777" w:rsidR="00B64FAF" w:rsidRPr="00401161" w:rsidRDefault="00B64FAF" w:rsidP="00B64FAF">
      <w:pPr>
        <w:rPr>
          <w:color w:val="000000" w:themeColor="text1"/>
          <w:lang w:val="it-IT"/>
        </w:rPr>
      </w:pPr>
    </w:p>
    <w:p w14:paraId="3C831F43" w14:textId="77777777" w:rsidR="00B64FAF" w:rsidRPr="00401161" w:rsidRDefault="00B64FAF" w:rsidP="00B64FAF">
      <w:pPr>
        <w:rPr>
          <w:color w:val="000000" w:themeColor="text1"/>
          <w:lang w:val="it-IT"/>
        </w:rPr>
      </w:pPr>
      <w:r w:rsidRPr="00401161">
        <w:rPr>
          <w:color w:val="000000" w:themeColor="text1"/>
          <w:lang w:val="it-IT"/>
        </w:rPr>
        <w:t>RBC BlueBay Asset Management, parte di RBC Global Asset Management (la divisione di asset management di Royal Bank of Canada), offre servizi e soluzioni di gestione di investimento a livello globale a investitori istituzionali e wholesale nelle aree EMEA e APAC.</w:t>
      </w:r>
    </w:p>
    <w:p w14:paraId="0D5332B9" w14:textId="77777777" w:rsidR="00B64FAF" w:rsidRPr="00401161" w:rsidRDefault="00B64FAF" w:rsidP="00B64FAF">
      <w:pPr>
        <w:rPr>
          <w:color w:val="000000" w:themeColor="text1"/>
          <w:lang w:val="it-IT"/>
        </w:rPr>
      </w:pPr>
    </w:p>
    <w:p w14:paraId="4BCD8D77" w14:textId="77777777" w:rsidR="00B64FAF" w:rsidRPr="00401161" w:rsidRDefault="00B64FAF" w:rsidP="00B64FAF">
      <w:pPr>
        <w:rPr>
          <w:color w:val="000000" w:themeColor="text1"/>
          <w:lang w:val="it-IT"/>
        </w:rPr>
      </w:pPr>
      <w:r w:rsidRPr="00401161">
        <w:rPr>
          <w:color w:val="000000" w:themeColor="text1"/>
          <w:lang w:val="it-IT"/>
        </w:rPr>
        <w:t>Caratterizzati da una forte esperienza negli investimenti azionari e obbligazionari attivi, con 486 miliardi di dollari di asset in gestione a livello globale, disponiamo delle dimensioni e della capacità necessarie per generare risultati che soddisfino gli obiettivi degli investitori, compreso quello di integrare i fattori ESG in tutte le strategie di investimento.</w:t>
      </w:r>
    </w:p>
    <w:p w14:paraId="27B8F928" w14:textId="77777777" w:rsidR="00B64FAF" w:rsidRPr="00401161" w:rsidRDefault="00B64FAF" w:rsidP="00B64FAF">
      <w:pPr>
        <w:rPr>
          <w:color w:val="000000" w:themeColor="text1"/>
          <w:lang w:val="it-IT"/>
        </w:rPr>
      </w:pPr>
    </w:p>
    <w:p w14:paraId="7E3B2EB9" w14:textId="77777777" w:rsidR="00B64FAF" w:rsidRPr="00401161" w:rsidRDefault="00B64FAF" w:rsidP="00B64FAF">
      <w:pPr>
        <w:rPr>
          <w:b/>
          <w:bCs/>
          <w:color w:val="000000" w:themeColor="text1"/>
          <w:lang w:val="it-IT"/>
        </w:rPr>
      </w:pPr>
      <w:r w:rsidRPr="00401161">
        <w:rPr>
          <w:b/>
          <w:bCs/>
          <w:color w:val="000000" w:themeColor="text1"/>
          <w:lang w:val="it-IT"/>
        </w:rPr>
        <w:t>Un impegno per l’eccellenza negli investimenti e nei servizi</w:t>
      </w:r>
    </w:p>
    <w:p w14:paraId="3F7C5C14" w14:textId="77777777" w:rsidR="00B64FAF" w:rsidRPr="00401161" w:rsidRDefault="00B64FAF" w:rsidP="00B64FAF">
      <w:pPr>
        <w:rPr>
          <w:color w:val="000000" w:themeColor="text1"/>
          <w:lang w:val="it-IT"/>
        </w:rPr>
      </w:pPr>
      <w:r w:rsidRPr="00401161">
        <w:rPr>
          <w:color w:val="000000" w:themeColor="text1"/>
          <w:lang w:val="it-IT"/>
        </w:rPr>
        <w:lastRenderedPageBreak/>
        <w:t>Siamo strutturati per generare risultati su misura per gli investitori che cercano di migliorare i rendimenti dei propri portafogli. Grazie alla nostra solida esperienza di investimento globale e all'impegno per offrire un servizio d’eccellenza, i nostri team di investimento in Nord America, Europa e Asia sono attivi su tutti i mercati dei capitali e su più asset class, mettendo in campo strategie tradizionali e innovative.</w:t>
      </w:r>
    </w:p>
    <w:p w14:paraId="20E54242" w14:textId="77777777" w:rsidR="00B64FAF" w:rsidRPr="00401161" w:rsidRDefault="00B64FAF" w:rsidP="00B64FAF">
      <w:pPr>
        <w:rPr>
          <w:color w:val="000000" w:themeColor="text1"/>
          <w:lang w:val="it-IT"/>
        </w:rPr>
      </w:pPr>
      <w:r w:rsidRPr="00401161">
        <w:rPr>
          <w:color w:val="000000" w:themeColor="text1"/>
          <w:lang w:val="it-IT"/>
        </w:rPr>
        <w:t>Nelle aree EMEA e APAC, le nostre competenze radicate e la nostra filosofia d'investimento ben definita e differenziata tra diverse le sub-asset class sono concepite per offrire agli investitori strategie d'investimento attive ottimali e specifiche per le opportunità nelle diverse asset class. La nostra piattaforma d'investimento specializzata nel reddito fisso - BlueBay - garantisce agli investitori di essere ben posizionati per beneficiare delle opportunità d'investimento globali in tutte le sub-asset class d'investimento e aree geografiche, sia nell’universo degli investimenti alternativi sia tradizionali.</w:t>
      </w:r>
    </w:p>
    <w:p w14:paraId="162BB366" w14:textId="77777777" w:rsidR="00B64FAF" w:rsidRPr="00401161" w:rsidRDefault="00B64FAF" w:rsidP="00B64FAF">
      <w:pPr>
        <w:rPr>
          <w:color w:val="000000" w:themeColor="text1"/>
          <w:lang w:val="it-IT"/>
        </w:rPr>
      </w:pPr>
    </w:p>
    <w:p w14:paraId="258E063B" w14:textId="0F763B42" w:rsidR="00B64FAF" w:rsidRPr="00401161" w:rsidRDefault="00B64FAF" w:rsidP="00B64FAF">
      <w:pPr>
        <w:rPr>
          <w:color w:val="000000" w:themeColor="text1"/>
          <w:lang w:val="it-IT"/>
        </w:rPr>
      </w:pPr>
      <w:r w:rsidRPr="00401161">
        <w:rPr>
          <w:color w:val="000000" w:themeColor="text1"/>
          <w:lang w:val="it-IT"/>
        </w:rPr>
        <w:t>In RBC Global Asset Management, i team di investimento si impegnano a perseguire una profonda conoscenza dei fondamentali, a collaborare, a integrare strumenti avanzati di investimento e di gestione del rischio e ad abbracciare l'innovazione. Questo ci permette di prendere decisioni di investimento migliori e di gestire in modo efficiente i portafogli, integrando i fattori ESG nei nostri processi di investimento.</w:t>
      </w:r>
    </w:p>
    <w:p w14:paraId="45CC1750" w14:textId="41A724B7" w:rsidR="00ED145A" w:rsidRPr="00401161" w:rsidRDefault="00ED145A" w:rsidP="00B64FAF">
      <w:pPr>
        <w:rPr>
          <w:color w:val="000000" w:themeColor="text1"/>
          <w:lang w:val="it-IT"/>
        </w:rPr>
      </w:pPr>
    </w:p>
    <w:p w14:paraId="3FE2797D" w14:textId="77777777" w:rsidR="00ED145A" w:rsidRPr="00401161" w:rsidRDefault="00ED145A" w:rsidP="00ED145A">
      <w:pPr>
        <w:rPr>
          <w:rFonts w:cstheme="minorHAnsi"/>
          <w:b/>
        </w:rPr>
      </w:pPr>
      <w:r w:rsidRPr="00401161">
        <w:rPr>
          <w:rFonts w:cstheme="minorHAnsi"/>
          <w:b/>
        </w:rPr>
        <w:t xml:space="preserve">A summary of investor rights can be obtained in English on </w:t>
      </w:r>
      <w:hyperlink r:id="rId13" w:history="1">
        <w:r w:rsidRPr="00401161">
          <w:rPr>
            <w:rStyle w:val="Collegamentoipertestuale"/>
            <w:rFonts w:cstheme="minorHAnsi"/>
            <w:b/>
          </w:rPr>
          <w:t>www.bluebay.com/investorrights</w:t>
        </w:r>
      </w:hyperlink>
      <w:r w:rsidRPr="00401161">
        <w:rPr>
          <w:rFonts w:cstheme="minorHAnsi"/>
          <w:b/>
        </w:rPr>
        <w:t xml:space="preserve">. It is important to note that the Fund Management Company may terminate arrangements for marketing under new Cross-border Distribution Directive denotification process. Recipients are strongly advised to make an independent review with their own advisors and reach their own conclusions regarding the investment merits and risks, legal, credit, tax and accounting aspects of all transactions. Please refer to the prospectus of the UCITS/ AIF and to the KIID, if applicable, before making any final investment decisions. </w:t>
      </w:r>
    </w:p>
    <w:p w14:paraId="6E5B896C" w14:textId="77777777" w:rsidR="00ED145A" w:rsidRPr="00401161" w:rsidRDefault="00ED145A" w:rsidP="00ED145A">
      <w:pPr>
        <w:spacing w:line="240" w:lineRule="auto"/>
        <w:jc w:val="both"/>
        <w:rPr>
          <w:rFonts w:cstheme="minorHAnsi"/>
          <w:bCs/>
        </w:rPr>
      </w:pPr>
    </w:p>
    <w:p w14:paraId="48B3EC58" w14:textId="77777777" w:rsidR="00ED145A" w:rsidRPr="00401161" w:rsidRDefault="00ED145A" w:rsidP="00ED145A">
      <w:pPr>
        <w:spacing w:line="240" w:lineRule="auto"/>
        <w:jc w:val="both"/>
        <w:rPr>
          <w:rFonts w:cstheme="minorHAnsi"/>
          <w:bCs/>
        </w:rPr>
      </w:pPr>
      <w:r w:rsidRPr="00401161">
        <w:rPr>
          <w:rFonts w:cstheme="minorHAnsi"/>
          <w:bCs/>
        </w:rPr>
        <w:t xml:space="preserve">This document is a marketing communication and it may be produced and issued by the following entities: in the European Economic Area (EEA), by BlueBay Funds Management Company S.A. (the ManCo), which is regulated by the Commission de Surveillance du Secteur Financier (CSSF). In Germany, Italy, Spain and Netherlands the ManCo is operating under a branch passport pursuant to the Undertakings for Collective Investment in Transferable Securities Directive (2009/65/EC) and the Alternative Investment Fund Managers Directive (2011/61/EU). In the United Kingdom (UK) by BlueBay Asset Management LLP (BBAM LLP), which is authorised and regulated by the UK Financial Conduct Authority (FCA), registered with the US Securities and Exchange Commission (SEC) and is a member of the National Futures Association (NFA) as authorised by the US Commodity Futures Trading Commission (CFTC). In Switzerland, by BlueBay Asset Management AG where the Representative and Paying Agent is BNP Paribas Securities Services, Paris, succursale de Zurich, Selnaustrasse 16, 8002 Zurich, Switzerland. The place of performance is at the registered office of the Representative. The courts at the registered office of the Swiss representative or at the registered office or place of residence of the investor shall have jurisdiction pertaining to claims in connection with the offering and/or advertising of shares in Switzerland. The Prospectus, the Key Investor Information Documents (KIIDs), where applicable, the Articles of Incorporation and any other document required, such as the Annual and Semi-Annual Reports, may be obtained free of charge from the Representative in Switzerland. In Japan, by BlueBay Asset Management International Limited which is registered with the Kanto Local Finance Bureau of Ministry of Finance, Japan. In Australia, BlueBay is exempt from the requirement to hold an Australian financial services license under the Corporations Act in respect of financial services as it is regulated by the FCA under the laws of the UK which differ from Australian laws. In Canada, BBAM LLP is not registered under securities laws and is relying on the international dealer exemption under applicable provincial securities legislation, which permits BBAM LLP to carry out certain specified dealer activities for those Canadian residents that qualify as "a Canadian permitted client”, as such term is defined under applicable securities legislation. The BlueBay group entities noted above are collectively referred to as “BlueBay” within this document. The registrations and memberships noted should not be interpreted as an endorsement or approval of BlueBay by the respective licensing or registering authorities. </w:t>
      </w:r>
    </w:p>
    <w:p w14:paraId="397ECC67" w14:textId="77777777" w:rsidR="00ED145A" w:rsidRPr="00401161" w:rsidRDefault="00ED145A" w:rsidP="00ED145A">
      <w:pPr>
        <w:spacing w:line="240" w:lineRule="auto"/>
        <w:jc w:val="both"/>
        <w:rPr>
          <w:rFonts w:cstheme="minorHAnsi"/>
          <w:bCs/>
        </w:rPr>
      </w:pPr>
    </w:p>
    <w:p w14:paraId="50745C7D" w14:textId="77777777" w:rsidR="00ED145A" w:rsidRPr="00401161" w:rsidRDefault="00ED145A" w:rsidP="00ED145A">
      <w:pPr>
        <w:spacing w:line="240" w:lineRule="auto"/>
        <w:jc w:val="both"/>
        <w:rPr>
          <w:rFonts w:cstheme="minorHAnsi"/>
          <w:bCs/>
        </w:rPr>
      </w:pPr>
      <w:r w:rsidRPr="00401161">
        <w:rPr>
          <w:rFonts w:cstheme="minorHAnsi"/>
          <w:bCs/>
        </w:rPr>
        <w:t>In the United States, this document may also be provided by RBC Global Asset Management (U.S.) Inc. ("RBC GAM-US"), an SEC registered investment adviser. RBC Global Asset Management (RBC GAM) is the asset management division of Royal Bank of Canada (RBC) which includes BBAM LLP, RBC GAM-US, RBC Global Asset Management (Asia) Limited and RBC Global Asset Management Inc., which are separate, but affiliated corporate entities.</w:t>
      </w:r>
    </w:p>
    <w:p w14:paraId="1B0D15C8" w14:textId="77777777" w:rsidR="00ED145A" w:rsidRPr="00401161" w:rsidRDefault="00ED145A" w:rsidP="00ED145A">
      <w:pPr>
        <w:spacing w:line="240" w:lineRule="auto"/>
        <w:jc w:val="both"/>
        <w:rPr>
          <w:rFonts w:cstheme="minorHAnsi"/>
          <w:bCs/>
        </w:rPr>
      </w:pPr>
    </w:p>
    <w:p w14:paraId="6009627C" w14:textId="77777777" w:rsidR="00ED145A" w:rsidRPr="00401161" w:rsidRDefault="00ED145A" w:rsidP="00ED145A">
      <w:pPr>
        <w:spacing w:line="240" w:lineRule="auto"/>
        <w:jc w:val="both"/>
        <w:rPr>
          <w:rFonts w:cstheme="minorHAnsi"/>
          <w:bCs/>
        </w:rPr>
      </w:pPr>
      <w:r w:rsidRPr="00401161">
        <w:rPr>
          <w:rFonts w:cstheme="minorHAnsi"/>
          <w:bCs/>
        </w:rPr>
        <w:t xml:space="preserve">The document is intended only for “professional clients” and “eligible counterparties” (as defined by the Markets in Financial Instruments Directive (“MiFID”)) or in the US by “accredited investors” (as defined in the Securities </w:t>
      </w:r>
      <w:r w:rsidRPr="00401161">
        <w:rPr>
          <w:rFonts w:cstheme="minorHAnsi"/>
          <w:bCs/>
        </w:rPr>
        <w:lastRenderedPageBreak/>
        <w:t xml:space="preserve">Act of 1933) or “qualified purchasers” (as defined in the Investment Company Act of 1940) as applicable and should not be relied upon by any other category of customer. </w:t>
      </w:r>
    </w:p>
    <w:p w14:paraId="63141E2A" w14:textId="77777777" w:rsidR="00ED145A" w:rsidRPr="00401161" w:rsidRDefault="00ED145A" w:rsidP="00ED145A">
      <w:pPr>
        <w:spacing w:line="240" w:lineRule="auto"/>
        <w:jc w:val="both"/>
        <w:rPr>
          <w:rFonts w:cstheme="minorHAnsi"/>
          <w:bCs/>
        </w:rPr>
      </w:pPr>
    </w:p>
    <w:p w14:paraId="15D61969" w14:textId="77777777" w:rsidR="00ED145A" w:rsidRPr="00DF3FE4" w:rsidRDefault="00ED145A" w:rsidP="00ED145A">
      <w:pPr>
        <w:spacing w:line="240" w:lineRule="auto"/>
        <w:jc w:val="both"/>
        <w:rPr>
          <w:rFonts w:cstheme="minorHAnsi"/>
          <w:bCs/>
        </w:rPr>
      </w:pPr>
      <w:r w:rsidRPr="00401161">
        <w:rPr>
          <w:rFonts w:cstheme="minorHAnsi"/>
          <w:bCs/>
        </w:rPr>
        <w:t>This document has been prepared solely for informational purposes and does not constitute an offer or recommendation to buy or sell any security or investment product or adopt any specific investment strategy in any jurisdiction. There are several risks associated with investing in this product. Please refer to the Prospectus of the fund and to the Key Investor Information Documents (KIID), if available, or any other relevant fund documentation on BlueBay website before making any final investment decisions. In EEA where applicable, the Prospectus is available in English and the KIIDs in several local languages and they can be accessed and obtained on BlueBay website. No BlueBay fund will be offered, except pursuant and subject to the offering memorandum and subscription materials for such fund (the “Offering Materials”). If there is an inconsistency between this document and the Offering Materials for the BlueBay fund, the provisions in the Offering Materials shall prevail.</w:t>
      </w:r>
      <w:r w:rsidRPr="00DF3FE4">
        <w:rPr>
          <w:rFonts w:cstheme="minorHAnsi"/>
          <w:bCs/>
        </w:rPr>
        <w:t xml:space="preserve"> </w:t>
      </w:r>
    </w:p>
    <w:p w14:paraId="5199970D" w14:textId="77777777" w:rsidR="00ED145A" w:rsidRPr="00DF3FE4" w:rsidRDefault="00ED145A" w:rsidP="00ED145A">
      <w:pPr>
        <w:pStyle w:val="Testocommento"/>
        <w:rPr>
          <w:rFonts w:cstheme="minorHAnsi"/>
          <w:bCs/>
          <w:iCs/>
          <w:szCs w:val="22"/>
        </w:rPr>
      </w:pPr>
    </w:p>
    <w:p w14:paraId="0C44B99F" w14:textId="77777777" w:rsidR="00ED145A" w:rsidRPr="00DF3FE4" w:rsidRDefault="00ED145A" w:rsidP="00ED145A">
      <w:pPr>
        <w:rPr>
          <w:szCs w:val="20"/>
        </w:rPr>
      </w:pPr>
    </w:p>
    <w:p w14:paraId="4438535A" w14:textId="77777777" w:rsidR="00ED145A" w:rsidRPr="009B07C8" w:rsidRDefault="00ED145A" w:rsidP="00B64FAF">
      <w:pPr>
        <w:rPr>
          <w:color w:val="000000" w:themeColor="text1"/>
          <w:lang w:val="en-US"/>
        </w:rPr>
      </w:pPr>
    </w:p>
    <w:p w14:paraId="7A51A364" w14:textId="77F25C8E" w:rsidR="00E87439" w:rsidRPr="009B07C8" w:rsidRDefault="00E87439" w:rsidP="00B64FAF">
      <w:pPr>
        <w:rPr>
          <w:szCs w:val="20"/>
          <w:lang w:val="en-US"/>
        </w:rPr>
      </w:pPr>
    </w:p>
    <w:sectPr w:rsidR="00E87439" w:rsidRPr="009B07C8" w:rsidSect="0038176C">
      <w:headerReference w:type="even" r:id="rId14"/>
      <w:headerReference w:type="default" r:id="rId15"/>
      <w:footerReference w:type="even" r:id="rId16"/>
      <w:footerReference w:type="default" r:id="rId17"/>
      <w:headerReference w:type="first" r:id="rId18"/>
      <w:footerReference w:type="first" r:id="rId19"/>
      <w:pgSz w:w="11909" w:h="16834" w:code="9"/>
      <w:pgMar w:top="1418" w:right="1134" w:bottom="1418" w:left="1134" w:header="510" w:footer="244"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01D6" w14:textId="77777777" w:rsidR="008067F3" w:rsidRDefault="008067F3" w:rsidP="00BD3978">
      <w:r>
        <w:separator/>
      </w:r>
    </w:p>
    <w:p w14:paraId="19A04D87" w14:textId="77777777" w:rsidR="008067F3" w:rsidRDefault="008067F3"/>
    <w:p w14:paraId="35CB0544" w14:textId="77777777" w:rsidR="008067F3" w:rsidRDefault="008067F3"/>
  </w:endnote>
  <w:endnote w:type="continuationSeparator" w:id="0">
    <w:p w14:paraId="377EBBE5" w14:textId="77777777" w:rsidR="008067F3" w:rsidRDefault="008067F3" w:rsidP="00BD3978">
      <w:r>
        <w:continuationSeparator/>
      </w:r>
    </w:p>
    <w:p w14:paraId="13FB09B3" w14:textId="77777777" w:rsidR="008067F3" w:rsidRDefault="008067F3"/>
    <w:p w14:paraId="20AFD2C6" w14:textId="77777777" w:rsidR="008067F3" w:rsidRDefault="00806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BC Text">
    <w:altName w:val="Calibri"/>
    <w:charset w:val="00"/>
    <w:family w:val="modern"/>
    <w:pitch w:val="variable"/>
    <w:sig w:usb0="800000AF" w:usb1="5000204A" w:usb2="00000000" w:usb3="00000000" w:csb0="00000001" w:csb1="00000000"/>
  </w:font>
  <w:font w:name="RBC Display">
    <w:charset w:val="00"/>
    <w:family w:val="auto"/>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887" w14:textId="77777777" w:rsidR="00C347EC" w:rsidRDefault="00C347E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58889"/>
      <w:docPartObj>
        <w:docPartGallery w:val="Page Numbers (Bottom of Page)"/>
        <w:docPartUnique/>
      </w:docPartObj>
    </w:sdtPr>
    <w:sdtEndPr>
      <w:rPr>
        <w:noProof/>
      </w:rPr>
    </w:sdtEndPr>
    <w:sdtContent>
      <w:p w14:paraId="573DA8A9" w14:textId="77777777" w:rsidR="007F5ADF" w:rsidRDefault="007F5ADF" w:rsidP="00764515">
        <w:pPr>
          <w:pStyle w:val="Pidipagina"/>
        </w:pPr>
        <w:r>
          <w:fldChar w:fldCharType="begin"/>
        </w:r>
        <w:r>
          <w:instrText xml:space="preserve"> PAGE   \* MERGEFORMAT </w:instrText>
        </w:r>
        <w:r>
          <w:fldChar w:fldCharType="separate"/>
        </w:r>
        <w:r w:rsidR="00440A91">
          <w:rPr>
            <w:noProof/>
          </w:rPr>
          <w:t>2</w:t>
        </w:r>
        <w:r>
          <w:rPr>
            <w:noProof/>
          </w:rPr>
          <w:fldChar w:fldCharType="end"/>
        </w:r>
      </w:p>
    </w:sdtContent>
  </w:sdt>
  <w:p w14:paraId="737C4710" w14:textId="77777777" w:rsidR="00DD3448" w:rsidRPr="00021330" w:rsidRDefault="00DD3448">
    <w:pPr>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968166"/>
      <w:docPartObj>
        <w:docPartGallery w:val="Page Numbers (Bottom of Page)"/>
        <w:docPartUnique/>
      </w:docPartObj>
    </w:sdtPr>
    <w:sdtEndPr>
      <w:rPr>
        <w:noProof/>
      </w:rPr>
    </w:sdtEndPr>
    <w:sdtContent>
      <w:p w14:paraId="712F3981" w14:textId="77777777" w:rsidR="007F5ADF" w:rsidRPr="00764515" w:rsidRDefault="007F5ADF" w:rsidP="00764515">
        <w:pPr>
          <w:pStyle w:val="Pidipagina"/>
        </w:pPr>
        <w:r w:rsidRPr="00764515">
          <w:fldChar w:fldCharType="begin"/>
        </w:r>
        <w:r w:rsidRPr="00764515">
          <w:instrText xml:space="preserve"> PAGE   \* MERGEFORMAT </w:instrText>
        </w:r>
        <w:r w:rsidRPr="00764515">
          <w:fldChar w:fldCharType="separate"/>
        </w:r>
        <w:r w:rsidR="00440A91">
          <w:rPr>
            <w:noProof/>
          </w:rPr>
          <w:t>1</w:t>
        </w:r>
        <w:r w:rsidRPr="00764515">
          <w:rPr>
            <w:noProof/>
          </w:rPr>
          <w:fldChar w:fldCharType="end"/>
        </w:r>
      </w:p>
    </w:sdtContent>
  </w:sdt>
  <w:p w14:paraId="3BBDF995" w14:textId="77777777" w:rsidR="00DD3448" w:rsidRDefault="00DD3448" w:rsidP="004A61C7">
    <w:pPr>
      <w:tabs>
        <w:tab w:val="left" w:pos="88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8E16" w14:textId="77777777" w:rsidR="008067F3" w:rsidRDefault="008067F3" w:rsidP="00BD3978">
      <w:r>
        <w:separator/>
      </w:r>
    </w:p>
    <w:p w14:paraId="07AB93AC" w14:textId="77777777" w:rsidR="008067F3" w:rsidRDefault="008067F3"/>
    <w:p w14:paraId="5C4CF15E" w14:textId="77777777" w:rsidR="008067F3" w:rsidRDefault="008067F3"/>
  </w:footnote>
  <w:footnote w:type="continuationSeparator" w:id="0">
    <w:p w14:paraId="0C0D6215" w14:textId="77777777" w:rsidR="008067F3" w:rsidRDefault="008067F3" w:rsidP="00BD3978">
      <w:r>
        <w:continuationSeparator/>
      </w:r>
    </w:p>
    <w:p w14:paraId="78786CCF" w14:textId="77777777" w:rsidR="008067F3" w:rsidRDefault="008067F3"/>
    <w:p w14:paraId="3EF32F58" w14:textId="77777777" w:rsidR="008067F3" w:rsidRDefault="008067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92A5" w14:textId="77777777" w:rsidR="00DD3448" w:rsidRDefault="00DD3448" w:rsidP="003762BD"/>
  <w:p w14:paraId="6C5DA13A" w14:textId="77777777" w:rsidR="00DD3448" w:rsidRDefault="00DD3448"/>
  <w:p w14:paraId="5EFF0D61" w14:textId="77777777" w:rsidR="00DD3448" w:rsidRDefault="00DD3448"/>
  <w:p w14:paraId="79B11DDF" w14:textId="77777777" w:rsidR="00DD3448" w:rsidRDefault="00DD3448"/>
  <w:p w14:paraId="1AD3F9D6" w14:textId="77777777" w:rsidR="00DD3448" w:rsidRDefault="00DD3448"/>
  <w:p w14:paraId="51244A1A" w14:textId="77777777" w:rsidR="00DD3448" w:rsidRDefault="00DD34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6BB7" w14:textId="77777777" w:rsidR="00C347EC" w:rsidRDefault="00C347E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16F7" w14:textId="77777777" w:rsidR="00DD3448" w:rsidRDefault="00411002" w:rsidP="00C82571">
    <w:pPr>
      <w:tabs>
        <w:tab w:val="left" w:pos="793"/>
        <w:tab w:val="left" w:pos="3544"/>
      </w:tabs>
    </w:pPr>
    <w:r>
      <w:rPr>
        <w:noProof/>
        <w:lang w:val="en-US" w:eastAsia="en-US"/>
      </w:rPr>
      <w:drawing>
        <wp:anchor distT="0" distB="360045" distL="114300" distR="114300" simplePos="0" relativeHeight="251658240" behindDoc="1" locked="1" layoutInCell="1" allowOverlap="0" wp14:anchorId="29753338" wp14:editId="7B15F6F7">
          <wp:simplePos x="0" y="0"/>
          <wp:positionH relativeFrom="page">
            <wp:posOffset>8255</wp:posOffset>
          </wp:positionH>
          <wp:positionV relativeFrom="page">
            <wp:posOffset>0</wp:posOffset>
          </wp:positionV>
          <wp:extent cx="7534275" cy="266382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534275" cy="2663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6E62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801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FE3F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D89192"/>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018126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9818A4"/>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EACC442A"/>
    <w:lvl w:ilvl="0">
      <w:start w:val="1"/>
      <w:numFmt w:val="decimal"/>
      <w:lvlText w:val="%1."/>
      <w:lvlJc w:val="left"/>
      <w:pPr>
        <w:tabs>
          <w:tab w:val="num" w:pos="360"/>
        </w:tabs>
        <w:ind w:left="360" w:hanging="360"/>
      </w:pPr>
    </w:lvl>
  </w:abstractNum>
  <w:abstractNum w:abstractNumId="7" w15:restartNumberingAfterBreak="0">
    <w:nsid w:val="090404A1"/>
    <w:multiLevelType w:val="hybridMultilevel"/>
    <w:tmpl w:val="601432FE"/>
    <w:lvl w:ilvl="0" w:tplc="9E222FE8">
      <w:start w:val="1"/>
      <w:numFmt w:val="bullet"/>
      <w:pStyle w:val="TabelTex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701756"/>
    <w:multiLevelType w:val="multilevel"/>
    <w:tmpl w:val="7D768FE4"/>
    <w:lvl w:ilvl="0">
      <w:start w:val="1"/>
      <w:numFmt w:val="decimal"/>
      <w:pStyle w:val="Elenco"/>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0029F3"/>
    <w:multiLevelType w:val="hybridMultilevel"/>
    <w:tmpl w:val="3C7E4136"/>
    <w:lvl w:ilvl="0" w:tplc="950093B0">
      <w:start w:val="1"/>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24197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EE64BE"/>
    <w:multiLevelType w:val="multilevel"/>
    <w:tmpl w:val="967EEDB4"/>
    <w:styleLink w:val="Bullets"/>
    <w:lvl w:ilvl="0">
      <w:start w:val="1"/>
      <w:numFmt w:val="bullet"/>
      <w:pStyle w:val="BulletList1"/>
      <w:lvlText w:val=""/>
      <w:lvlJc w:val="left"/>
      <w:pPr>
        <w:ind w:left="274" w:hanging="274"/>
      </w:pPr>
      <w:rPr>
        <w:rFonts w:ascii="Symbol" w:hAnsi="Symbol" w:cs="Times New Roman" w:hint="default"/>
        <w:color w:val="auto"/>
        <w:position w:val="1"/>
        <w:sz w:val="16"/>
        <w:szCs w:val="12"/>
      </w:rPr>
    </w:lvl>
    <w:lvl w:ilvl="1">
      <w:start w:val="1"/>
      <w:numFmt w:val="bullet"/>
      <w:pStyle w:val="BulletList2"/>
      <w:lvlText w:val="-"/>
      <w:lvlJc w:val="left"/>
      <w:pPr>
        <w:ind w:left="547" w:hanging="273"/>
      </w:pPr>
      <w:rPr>
        <w:rFonts w:ascii="Arial" w:hAnsi="Arial" w:cs="Times New Roman" w:hint="default"/>
        <w:color w:val="auto"/>
        <w:szCs w:val="12"/>
      </w:rPr>
    </w:lvl>
    <w:lvl w:ilvl="2">
      <w:start w:val="1"/>
      <w:numFmt w:val="none"/>
      <w:lvlText w:val=""/>
      <w:lvlJc w:val="left"/>
      <w:pPr>
        <w:ind w:left="547" w:hanging="547"/>
      </w:pPr>
      <w:rPr>
        <w:rFonts w:hint="default"/>
      </w:rPr>
    </w:lvl>
    <w:lvl w:ilvl="3">
      <w:start w:val="1"/>
      <w:numFmt w:val="none"/>
      <w:lvlText w:val=""/>
      <w:lvlJc w:val="left"/>
      <w:pPr>
        <w:ind w:left="547" w:hanging="547"/>
      </w:pPr>
      <w:rPr>
        <w:rFonts w:hint="default"/>
      </w:rPr>
    </w:lvl>
    <w:lvl w:ilvl="4">
      <w:start w:val="1"/>
      <w:numFmt w:val="none"/>
      <w:lvlText w:val=""/>
      <w:lvlJc w:val="left"/>
      <w:pPr>
        <w:ind w:left="547" w:hanging="547"/>
      </w:pPr>
      <w:rPr>
        <w:rFonts w:hint="default"/>
      </w:rPr>
    </w:lvl>
    <w:lvl w:ilvl="5">
      <w:start w:val="1"/>
      <w:numFmt w:val="none"/>
      <w:lvlText w:val=""/>
      <w:lvlJc w:val="left"/>
      <w:pPr>
        <w:ind w:left="547" w:hanging="547"/>
      </w:pPr>
      <w:rPr>
        <w:rFonts w:hint="default"/>
      </w:rPr>
    </w:lvl>
    <w:lvl w:ilvl="6">
      <w:start w:val="1"/>
      <w:numFmt w:val="none"/>
      <w:lvlText w:val=""/>
      <w:lvlJc w:val="left"/>
      <w:pPr>
        <w:ind w:left="547" w:hanging="547"/>
      </w:pPr>
      <w:rPr>
        <w:rFonts w:hint="default"/>
      </w:rPr>
    </w:lvl>
    <w:lvl w:ilvl="7">
      <w:start w:val="1"/>
      <w:numFmt w:val="none"/>
      <w:lvlText w:val=""/>
      <w:lvlJc w:val="left"/>
      <w:pPr>
        <w:ind w:left="547" w:hanging="547"/>
      </w:pPr>
      <w:rPr>
        <w:rFonts w:hint="default"/>
      </w:rPr>
    </w:lvl>
    <w:lvl w:ilvl="8">
      <w:start w:val="1"/>
      <w:numFmt w:val="none"/>
      <w:lvlText w:val=""/>
      <w:lvlJc w:val="left"/>
      <w:pPr>
        <w:ind w:left="547" w:hanging="547"/>
      </w:pPr>
      <w:rPr>
        <w:rFonts w:hint="default"/>
      </w:rPr>
    </w:lvl>
  </w:abstractNum>
  <w:abstractNum w:abstractNumId="12" w15:restartNumberingAfterBreak="0">
    <w:nsid w:val="13641A33"/>
    <w:multiLevelType w:val="hybridMultilevel"/>
    <w:tmpl w:val="0220F2DE"/>
    <w:lvl w:ilvl="0" w:tplc="B8AC2CCE">
      <w:start w:val="1"/>
      <w:numFmt w:val="bullet"/>
      <w:pStyle w:val="Puntoelenco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1442643D"/>
    <w:multiLevelType w:val="hybridMultilevel"/>
    <w:tmpl w:val="2814FC84"/>
    <w:lvl w:ilvl="0" w:tplc="5FA25190">
      <w:numFmt w:val="bullet"/>
      <w:lvlText w:val=""/>
      <w:lvlJc w:val="left"/>
      <w:pPr>
        <w:tabs>
          <w:tab w:val="num" w:pos="288"/>
        </w:tabs>
        <w:ind w:left="288" w:hanging="28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F94586"/>
    <w:multiLevelType w:val="hybridMultilevel"/>
    <w:tmpl w:val="1CEAB984"/>
    <w:lvl w:ilvl="0" w:tplc="7E167870">
      <w:start w:val="1"/>
      <w:numFmt w:val="upperLetter"/>
      <w:lvlText w:val="%1."/>
      <w:lvlJc w:val="left"/>
      <w:pPr>
        <w:tabs>
          <w:tab w:val="num" w:pos="340"/>
        </w:tabs>
        <w:ind w:left="340" w:hanging="3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DD7F2F"/>
    <w:multiLevelType w:val="multilevel"/>
    <w:tmpl w:val="1E167F98"/>
    <w:lvl w:ilvl="0">
      <w:start w:val="1"/>
      <w:numFmt w:val="decimal"/>
      <w:lvlText w:val="%1."/>
      <w:lvlJc w:val="left"/>
      <w:pPr>
        <w:ind w:left="720" w:hanging="360"/>
      </w:pPr>
      <w:rPr>
        <w:rFonts w:hint="default"/>
        <w:color w:val="686765"/>
        <w:sz w:val="20"/>
      </w:rPr>
    </w:lvl>
    <w:lvl w:ilvl="1">
      <w:start w:val="1"/>
      <w:numFmt w:val="decimal"/>
      <w:pStyle w:val="Elenco2"/>
      <w:lvlText w:val="%1.%2."/>
      <w:lvlJc w:val="left"/>
      <w:pPr>
        <w:ind w:left="1152" w:hanging="432"/>
      </w:pPr>
      <w:rPr>
        <w:rFonts w:hint="default"/>
      </w:rPr>
    </w:lvl>
    <w:lvl w:ilvl="2">
      <w:start w:val="1"/>
      <w:numFmt w:val="decimal"/>
      <w:pStyle w:val="Elenco3"/>
      <w:lvlText w:val="%1.%2.%3."/>
      <w:lvlJc w:val="left"/>
      <w:pPr>
        <w:ind w:left="1584" w:hanging="504"/>
      </w:pPr>
      <w:rPr>
        <w:rFonts w:hint="default"/>
      </w:rPr>
    </w:lvl>
    <w:lvl w:ilvl="3">
      <w:start w:val="1"/>
      <w:numFmt w:val="decimal"/>
      <w:pStyle w:val="Elenco4"/>
      <w:lvlText w:val="%1.%2.%3.%4."/>
      <w:lvlJc w:val="left"/>
      <w:pPr>
        <w:ind w:left="2350"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1C2333A8"/>
    <w:multiLevelType w:val="hybridMultilevel"/>
    <w:tmpl w:val="B546F144"/>
    <w:lvl w:ilvl="0" w:tplc="573AC6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452756"/>
    <w:multiLevelType w:val="multilevel"/>
    <w:tmpl w:val="2500D71E"/>
    <w:styleLink w:val="Numbers"/>
    <w:lvl w:ilvl="0">
      <w:start w:val="1"/>
      <w:numFmt w:val="decimal"/>
      <w:lvlText w:val="%1."/>
      <w:lvlJc w:val="left"/>
      <w:pPr>
        <w:tabs>
          <w:tab w:val="num" w:pos="274"/>
        </w:tabs>
        <w:ind w:left="274" w:hanging="274"/>
      </w:pPr>
      <w:rPr>
        <w:rFonts w:hint="default"/>
      </w:rPr>
    </w:lvl>
    <w:lvl w:ilvl="1">
      <w:start w:val="1"/>
      <w:numFmt w:val="lowerLetter"/>
      <w:lvlText w:val="%2."/>
      <w:lvlJc w:val="left"/>
      <w:pPr>
        <w:tabs>
          <w:tab w:val="num" w:pos="547"/>
        </w:tabs>
        <w:ind w:left="547" w:hanging="273"/>
      </w:pPr>
      <w:rPr>
        <w:rFonts w:hint="default"/>
      </w:rPr>
    </w:lvl>
    <w:lvl w:ilvl="2">
      <w:start w:val="1"/>
      <w:numFmt w:val="none"/>
      <w:lvlText w:val=""/>
      <w:lvlJc w:val="left"/>
      <w:pPr>
        <w:ind w:left="547" w:hanging="273"/>
      </w:pPr>
      <w:rPr>
        <w:rFonts w:hint="default"/>
      </w:rPr>
    </w:lvl>
    <w:lvl w:ilvl="3">
      <w:start w:val="1"/>
      <w:numFmt w:val="none"/>
      <w:lvlText w:val=""/>
      <w:lvlJc w:val="left"/>
      <w:pPr>
        <w:ind w:left="547" w:hanging="273"/>
      </w:pPr>
      <w:rPr>
        <w:rFonts w:hint="default"/>
      </w:rPr>
    </w:lvl>
    <w:lvl w:ilvl="4">
      <w:start w:val="1"/>
      <w:numFmt w:val="none"/>
      <w:lvlText w:val=""/>
      <w:lvlJc w:val="left"/>
      <w:pPr>
        <w:ind w:left="547" w:hanging="273"/>
      </w:pPr>
      <w:rPr>
        <w:rFonts w:hint="default"/>
      </w:rPr>
    </w:lvl>
    <w:lvl w:ilvl="5">
      <w:start w:val="1"/>
      <w:numFmt w:val="none"/>
      <w:lvlText w:val=""/>
      <w:lvlJc w:val="left"/>
      <w:pPr>
        <w:ind w:left="547" w:hanging="273"/>
      </w:pPr>
      <w:rPr>
        <w:rFonts w:hint="default"/>
      </w:rPr>
    </w:lvl>
    <w:lvl w:ilvl="6">
      <w:start w:val="1"/>
      <w:numFmt w:val="none"/>
      <w:lvlText w:val=""/>
      <w:lvlJc w:val="left"/>
      <w:pPr>
        <w:ind w:left="547" w:hanging="273"/>
      </w:pPr>
      <w:rPr>
        <w:rFonts w:hint="default"/>
      </w:rPr>
    </w:lvl>
    <w:lvl w:ilvl="7">
      <w:start w:val="1"/>
      <w:numFmt w:val="none"/>
      <w:lvlText w:val=""/>
      <w:lvlJc w:val="left"/>
      <w:pPr>
        <w:ind w:left="547" w:hanging="273"/>
      </w:pPr>
      <w:rPr>
        <w:rFonts w:hint="default"/>
      </w:rPr>
    </w:lvl>
    <w:lvl w:ilvl="8">
      <w:start w:val="1"/>
      <w:numFmt w:val="none"/>
      <w:lvlText w:val=""/>
      <w:lvlJc w:val="left"/>
      <w:pPr>
        <w:ind w:left="547" w:hanging="273"/>
      </w:pPr>
      <w:rPr>
        <w:rFonts w:hint="default"/>
      </w:rPr>
    </w:lvl>
  </w:abstractNum>
  <w:abstractNum w:abstractNumId="18" w15:restartNumberingAfterBreak="0">
    <w:nsid w:val="34461EC1"/>
    <w:multiLevelType w:val="hybridMultilevel"/>
    <w:tmpl w:val="30A6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83D31"/>
    <w:multiLevelType w:val="hybridMultilevel"/>
    <w:tmpl w:val="6BDC56E0"/>
    <w:lvl w:ilvl="0" w:tplc="5FA25190">
      <w:numFmt w:val="bullet"/>
      <w:lvlText w:val=""/>
      <w:lvlJc w:val="left"/>
      <w:pPr>
        <w:tabs>
          <w:tab w:val="num" w:pos="288"/>
        </w:tabs>
        <w:ind w:left="288" w:hanging="28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3076FB"/>
    <w:multiLevelType w:val="hybridMultilevel"/>
    <w:tmpl w:val="1708004C"/>
    <w:lvl w:ilvl="0" w:tplc="17D6D2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7B9374A"/>
    <w:multiLevelType w:val="hybridMultilevel"/>
    <w:tmpl w:val="8A961F4E"/>
    <w:lvl w:ilvl="0" w:tplc="5FA25190">
      <w:numFmt w:val="bullet"/>
      <w:lvlText w:val=""/>
      <w:lvlJc w:val="left"/>
      <w:pPr>
        <w:tabs>
          <w:tab w:val="num" w:pos="288"/>
        </w:tabs>
        <w:ind w:left="288" w:hanging="28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DC1D34"/>
    <w:multiLevelType w:val="hybridMultilevel"/>
    <w:tmpl w:val="7B248B66"/>
    <w:lvl w:ilvl="0" w:tplc="8928538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5C1C7792"/>
    <w:multiLevelType w:val="hybridMultilevel"/>
    <w:tmpl w:val="E84ADB12"/>
    <w:lvl w:ilvl="0" w:tplc="17EE788A">
      <w:start w:val="4"/>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A50F6"/>
    <w:multiLevelType w:val="hybridMultilevel"/>
    <w:tmpl w:val="BCCE9B64"/>
    <w:lvl w:ilvl="0" w:tplc="D7D48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FF6F6F"/>
    <w:multiLevelType w:val="hybridMultilevel"/>
    <w:tmpl w:val="AC0A8D34"/>
    <w:lvl w:ilvl="0" w:tplc="117C090E">
      <w:start w:val="1"/>
      <w:numFmt w:val="bullet"/>
      <w:pStyle w:val="Puntoelenco"/>
      <w:lvlText w:val=""/>
      <w:lvlJc w:val="left"/>
      <w:pPr>
        <w:ind w:left="720" w:hanging="360"/>
      </w:pPr>
      <w:rPr>
        <w:rFonts w:ascii="Symbol" w:hAnsi="Symbol" w:hint="default"/>
      </w:rPr>
    </w:lvl>
    <w:lvl w:ilvl="1" w:tplc="6C2AE148">
      <w:start w:val="1"/>
      <w:numFmt w:val="bullet"/>
      <w:pStyle w:val="Puntoelenco2"/>
      <w:lvlText w:val="­"/>
      <w:lvlJc w:val="left"/>
      <w:pPr>
        <w:ind w:left="1440" w:hanging="360"/>
      </w:pPr>
      <w:rPr>
        <w:rFonts w:ascii="Courier New" w:hAnsi="Courier New" w:hint="default"/>
      </w:rPr>
    </w:lvl>
    <w:lvl w:ilvl="2" w:tplc="1E7E527A">
      <w:start w:val="1"/>
      <w:numFmt w:val="bullet"/>
      <w:lvlText w:val=""/>
      <w:lvlJc w:val="left"/>
      <w:pPr>
        <w:ind w:left="21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E53E2E06">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223C8E"/>
    <w:multiLevelType w:val="hybridMultilevel"/>
    <w:tmpl w:val="8BFA7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3F00AB"/>
    <w:multiLevelType w:val="hybridMultilevel"/>
    <w:tmpl w:val="BEF8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E9570A"/>
    <w:multiLevelType w:val="hybridMultilevel"/>
    <w:tmpl w:val="CA70DA6E"/>
    <w:lvl w:ilvl="0" w:tplc="623889D2">
      <w:start w:val="1"/>
      <w:numFmt w:val="bullet"/>
      <w:pStyle w:val="Bullet4"/>
      <w:lvlText w:val="­"/>
      <w:lvlJc w:val="left"/>
      <w:pPr>
        <w:ind w:left="1571" w:hanging="360"/>
      </w:pPr>
      <w:rPr>
        <w:rFonts w:ascii="Courier New" w:hAnsi="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774F65C7"/>
    <w:multiLevelType w:val="hybridMultilevel"/>
    <w:tmpl w:val="2A1832C2"/>
    <w:lvl w:ilvl="0" w:tplc="9E942BA0">
      <w:start w:val="1"/>
      <w:numFmt w:val="bullet"/>
      <w:pStyle w:val="Paragrafoelenco"/>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C80D94"/>
    <w:multiLevelType w:val="hybridMultilevel"/>
    <w:tmpl w:val="0A9C6942"/>
    <w:lvl w:ilvl="0" w:tplc="88CC6430">
      <w:start w:val="1"/>
      <w:numFmt w:val="bullet"/>
      <w:lvlText w:val=""/>
      <w:lvlJc w:val="left"/>
      <w:pPr>
        <w:ind w:left="720" w:hanging="360"/>
      </w:pPr>
      <w:rPr>
        <w:rFonts w:ascii="Symbol" w:hAnsi="Symbo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543311"/>
    <w:multiLevelType w:val="hybridMultilevel"/>
    <w:tmpl w:val="921A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8C10F5"/>
    <w:multiLevelType w:val="hybridMultilevel"/>
    <w:tmpl w:val="5CF6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707624">
    <w:abstractNumId w:val="11"/>
  </w:num>
  <w:num w:numId="2" w16cid:durableId="1435785640">
    <w:abstractNumId w:val="10"/>
  </w:num>
  <w:num w:numId="3" w16cid:durableId="1664318021">
    <w:abstractNumId w:val="17"/>
  </w:num>
  <w:num w:numId="4" w16cid:durableId="1073625897">
    <w:abstractNumId w:val="14"/>
  </w:num>
  <w:num w:numId="5" w16cid:durableId="2137722008">
    <w:abstractNumId w:val="15"/>
  </w:num>
  <w:num w:numId="6" w16cid:durableId="1060009630">
    <w:abstractNumId w:val="8"/>
  </w:num>
  <w:num w:numId="7" w16cid:durableId="2077968152">
    <w:abstractNumId w:val="25"/>
  </w:num>
  <w:num w:numId="8" w16cid:durableId="642469021">
    <w:abstractNumId w:val="12"/>
  </w:num>
  <w:num w:numId="9" w16cid:durableId="650909366">
    <w:abstractNumId w:val="27"/>
  </w:num>
  <w:num w:numId="10" w16cid:durableId="2007240363">
    <w:abstractNumId w:val="18"/>
  </w:num>
  <w:num w:numId="11" w16cid:durableId="1570189843">
    <w:abstractNumId w:val="28"/>
  </w:num>
  <w:num w:numId="12" w16cid:durableId="569267776">
    <w:abstractNumId w:val="21"/>
  </w:num>
  <w:num w:numId="13" w16cid:durableId="204566037">
    <w:abstractNumId w:val="19"/>
  </w:num>
  <w:num w:numId="14" w16cid:durableId="734090404">
    <w:abstractNumId w:val="13"/>
  </w:num>
  <w:num w:numId="15" w16cid:durableId="138420189">
    <w:abstractNumId w:val="7"/>
  </w:num>
  <w:num w:numId="16" w16cid:durableId="1956061417">
    <w:abstractNumId w:val="24"/>
  </w:num>
  <w:num w:numId="17" w16cid:durableId="98842106">
    <w:abstractNumId w:val="31"/>
  </w:num>
  <w:num w:numId="18" w16cid:durableId="2128691567">
    <w:abstractNumId w:val="22"/>
  </w:num>
  <w:num w:numId="19" w16cid:durableId="1869247177">
    <w:abstractNumId w:val="23"/>
  </w:num>
  <w:num w:numId="20" w16cid:durableId="992107084">
    <w:abstractNumId w:val="26"/>
  </w:num>
  <w:num w:numId="21" w16cid:durableId="2098209909">
    <w:abstractNumId w:val="5"/>
  </w:num>
  <w:num w:numId="22" w16cid:durableId="1907296480">
    <w:abstractNumId w:val="4"/>
  </w:num>
  <w:num w:numId="23" w16cid:durableId="2088763743">
    <w:abstractNumId w:val="6"/>
  </w:num>
  <w:num w:numId="24" w16cid:durableId="923302433">
    <w:abstractNumId w:val="3"/>
  </w:num>
  <w:num w:numId="25" w16cid:durableId="826630235">
    <w:abstractNumId w:val="2"/>
  </w:num>
  <w:num w:numId="26" w16cid:durableId="532422956">
    <w:abstractNumId w:val="1"/>
  </w:num>
  <w:num w:numId="27" w16cid:durableId="516191038">
    <w:abstractNumId w:val="0"/>
  </w:num>
  <w:num w:numId="28" w16cid:durableId="740179284">
    <w:abstractNumId w:val="16"/>
  </w:num>
  <w:num w:numId="29" w16cid:durableId="418797344">
    <w:abstractNumId w:val="32"/>
  </w:num>
  <w:num w:numId="30" w16cid:durableId="672801231">
    <w:abstractNumId w:val="9"/>
  </w:num>
  <w:num w:numId="31" w16cid:durableId="761144449">
    <w:abstractNumId w:val="30"/>
  </w:num>
  <w:num w:numId="32" w16cid:durableId="1970740865">
    <w:abstractNumId w:val="29"/>
  </w:num>
  <w:num w:numId="33" w16cid:durableId="14470459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0"/>
  <w:autoFormatOverride/>
  <w:styleLockTheme/>
  <w:styleLockQFSet/>
  <w:defaultTabStop w:val="720"/>
  <w:hyphenationZone w:val="425"/>
  <w:clickAndTypeStyle w:val="Corpotesto"/>
  <w:drawingGridHorizontalSpacing w:val="181"/>
  <w:drawingGridVerticalSpacing w:val="18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DA8"/>
    <w:rsid w:val="00001586"/>
    <w:rsid w:val="00007159"/>
    <w:rsid w:val="00013419"/>
    <w:rsid w:val="00014644"/>
    <w:rsid w:val="00015CA8"/>
    <w:rsid w:val="000162E4"/>
    <w:rsid w:val="00021330"/>
    <w:rsid w:val="00030DEA"/>
    <w:rsid w:val="00032FF3"/>
    <w:rsid w:val="0003397F"/>
    <w:rsid w:val="00035B6D"/>
    <w:rsid w:val="00041630"/>
    <w:rsid w:val="00047692"/>
    <w:rsid w:val="0005639C"/>
    <w:rsid w:val="00061582"/>
    <w:rsid w:val="000622C1"/>
    <w:rsid w:val="0006355D"/>
    <w:rsid w:val="00066155"/>
    <w:rsid w:val="00070CAE"/>
    <w:rsid w:val="00070F8C"/>
    <w:rsid w:val="000769A7"/>
    <w:rsid w:val="00076DED"/>
    <w:rsid w:val="00085A1C"/>
    <w:rsid w:val="000909C3"/>
    <w:rsid w:val="00091626"/>
    <w:rsid w:val="00091BC2"/>
    <w:rsid w:val="0009325B"/>
    <w:rsid w:val="0009500E"/>
    <w:rsid w:val="000957EC"/>
    <w:rsid w:val="000A2207"/>
    <w:rsid w:val="000A4C77"/>
    <w:rsid w:val="000A5F50"/>
    <w:rsid w:val="000B4934"/>
    <w:rsid w:val="000B4D63"/>
    <w:rsid w:val="000C1535"/>
    <w:rsid w:val="000C45A3"/>
    <w:rsid w:val="000C6F06"/>
    <w:rsid w:val="000C77AC"/>
    <w:rsid w:val="000D0192"/>
    <w:rsid w:val="000D0EC7"/>
    <w:rsid w:val="000D3B04"/>
    <w:rsid w:val="000D4A38"/>
    <w:rsid w:val="000D5A06"/>
    <w:rsid w:val="000D72EF"/>
    <w:rsid w:val="000E1874"/>
    <w:rsid w:val="000E2586"/>
    <w:rsid w:val="000E2A11"/>
    <w:rsid w:val="000E2CC8"/>
    <w:rsid w:val="000E334E"/>
    <w:rsid w:val="000E3FFA"/>
    <w:rsid w:val="000E4C2E"/>
    <w:rsid w:val="000F2ABB"/>
    <w:rsid w:val="000F3E2B"/>
    <w:rsid w:val="000F462A"/>
    <w:rsid w:val="0010000A"/>
    <w:rsid w:val="00101DAB"/>
    <w:rsid w:val="00106140"/>
    <w:rsid w:val="00106A3B"/>
    <w:rsid w:val="00121D19"/>
    <w:rsid w:val="00122402"/>
    <w:rsid w:val="0012275F"/>
    <w:rsid w:val="00122E10"/>
    <w:rsid w:val="00123F67"/>
    <w:rsid w:val="0013009D"/>
    <w:rsid w:val="001309A0"/>
    <w:rsid w:val="00130D98"/>
    <w:rsid w:val="00131834"/>
    <w:rsid w:val="00132369"/>
    <w:rsid w:val="001330FB"/>
    <w:rsid w:val="00135E47"/>
    <w:rsid w:val="00140723"/>
    <w:rsid w:val="0014571F"/>
    <w:rsid w:val="0014785D"/>
    <w:rsid w:val="001503F7"/>
    <w:rsid w:val="0015316E"/>
    <w:rsid w:val="001546B1"/>
    <w:rsid w:val="001557C3"/>
    <w:rsid w:val="0016147C"/>
    <w:rsid w:val="00170780"/>
    <w:rsid w:val="001723FB"/>
    <w:rsid w:val="001737D9"/>
    <w:rsid w:val="00174A92"/>
    <w:rsid w:val="00176940"/>
    <w:rsid w:val="0018083B"/>
    <w:rsid w:val="001823BC"/>
    <w:rsid w:val="001826CD"/>
    <w:rsid w:val="00184D62"/>
    <w:rsid w:val="0019292F"/>
    <w:rsid w:val="00197D3F"/>
    <w:rsid w:val="001A02C2"/>
    <w:rsid w:val="001A1FC7"/>
    <w:rsid w:val="001A67CB"/>
    <w:rsid w:val="001B02DE"/>
    <w:rsid w:val="001B3A7A"/>
    <w:rsid w:val="001B6475"/>
    <w:rsid w:val="001C2034"/>
    <w:rsid w:val="001C3083"/>
    <w:rsid w:val="001C3CE5"/>
    <w:rsid w:val="001C70D7"/>
    <w:rsid w:val="001D4081"/>
    <w:rsid w:val="001D66FC"/>
    <w:rsid w:val="001E363F"/>
    <w:rsid w:val="001E3F6E"/>
    <w:rsid w:val="001F2241"/>
    <w:rsid w:val="001F6724"/>
    <w:rsid w:val="001F7972"/>
    <w:rsid w:val="0020117F"/>
    <w:rsid w:val="002017DF"/>
    <w:rsid w:val="00201850"/>
    <w:rsid w:val="00217209"/>
    <w:rsid w:val="002201D0"/>
    <w:rsid w:val="00220357"/>
    <w:rsid w:val="0022364C"/>
    <w:rsid w:val="00223D0C"/>
    <w:rsid w:val="00227B91"/>
    <w:rsid w:val="00227CE9"/>
    <w:rsid w:val="0023246C"/>
    <w:rsid w:val="0023391F"/>
    <w:rsid w:val="0023430F"/>
    <w:rsid w:val="00236A0F"/>
    <w:rsid w:val="0024114E"/>
    <w:rsid w:val="002434A8"/>
    <w:rsid w:val="00243DD6"/>
    <w:rsid w:val="00252675"/>
    <w:rsid w:val="00254101"/>
    <w:rsid w:val="00255ECE"/>
    <w:rsid w:val="00256B38"/>
    <w:rsid w:val="00261A6B"/>
    <w:rsid w:val="00262EE5"/>
    <w:rsid w:val="00263BC1"/>
    <w:rsid w:val="00270396"/>
    <w:rsid w:val="00271C43"/>
    <w:rsid w:val="00273011"/>
    <w:rsid w:val="00280DFD"/>
    <w:rsid w:val="0028135C"/>
    <w:rsid w:val="00282CE0"/>
    <w:rsid w:val="0028453A"/>
    <w:rsid w:val="00285413"/>
    <w:rsid w:val="00293380"/>
    <w:rsid w:val="00293660"/>
    <w:rsid w:val="0029486E"/>
    <w:rsid w:val="002A23FC"/>
    <w:rsid w:val="002A2931"/>
    <w:rsid w:val="002A336E"/>
    <w:rsid w:val="002A45F5"/>
    <w:rsid w:val="002A5334"/>
    <w:rsid w:val="002B420D"/>
    <w:rsid w:val="002B4C68"/>
    <w:rsid w:val="002B7548"/>
    <w:rsid w:val="002B7776"/>
    <w:rsid w:val="002C53FE"/>
    <w:rsid w:val="002C6481"/>
    <w:rsid w:val="002D058D"/>
    <w:rsid w:val="002D20A4"/>
    <w:rsid w:val="002D3B13"/>
    <w:rsid w:val="002D5A3E"/>
    <w:rsid w:val="002E0C77"/>
    <w:rsid w:val="002E1DDC"/>
    <w:rsid w:val="002E792E"/>
    <w:rsid w:val="002E7A28"/>
    <w:rsid w:val="00300D77"/>
    <w:rsid w:val="00303593"/>
    <w:rsid w:val="0030559B"/>
    <w:rsid w:val="00310D64"/>
    <w:rsid w:val="003114D3"/>
    <w:rsid w:val="00312CA1"/>
    <w:rsid w:val="00313FE8"/>
    <w:rsid w:val="003156EF"/>
    <w:rsid w:val="00317C00"/>
    <w:rsid w:val="00322B40"/>
    <w:rsid w:val="003267F6"/>
    <w:rsid w:val="003379F3"/>
    <w:rsid w:val="00342E2A"/>
    <w:rsid w:val="00346300"/>
    <w:rsid w:val="00346418"/>
    <w:rsid w:val="003510A5"/>
    <w:rsid w:val="003534C1"/>
    <w:rsid w:val="0036130B"/>
    <w:rsid w:val="00361EBA"/>
    <w:rsid w:val="00361EFD"/>
    <w:rsid w:val="00362023"/>
    <w:rsid w:val="0037001C"/>
    <w:rsid w:val="0037562D"/>
    <w:rsid w:val="003762BD"/>
    <w:rsid w:val="0038176C"/>
    <w:rsid w:val="00382377"/>
    <w:rsid w:val="00383213"/>
    <w:rsid w:val="00386A7C"/>
    <w:rsid w:val="00391990"/>
    <w:rsid w:val="003A3382"/>
    <w:rsid w:val="003A3B7E"/>
    <w:rsid w:val="003A48F8"/>
    <w:rsid w:val="003C0681"/>
    <w:rsid w:val="003D4554"/>
    <w:rsid w:val="003E34F8"/>
    <w:rsid w:val="003E3F99"/>
    <w:rsid w:val="003E6DD8"/>
    <w:rsid w:val="003E776D"/>
    <w:rsid w:val="003F07AA"/>
    <w:rsid w:val="003F0D57"/>
    <w:rsid w:val="003F1C67"/>
    <w:rsid w:val="003F2DCD"/>
    <w:rsid w:val="003F41C8"/>
    <w:rsid w:val="003F5298"/>
    <w:rsid w:val="00401161"/>
    <w:rsid w:val="00405299"/>
    <w:rsid w:val="004056E1"/>
    <w:rsid w:val="00411002"/>
    <w:rsid w:val="00411AEB"/>
    <w:rsid w:val="00415642"/>
    <w:rsid w:val="00422FA5"/>
    <w:rsid w:val="00424C85"/>
    <w:rsid w:val="0042651C"/>
    <w:rsid w:val="00431302"/>
    <w:rsid w:val="00437A36"/>
    <w:rsid w:val="00437D5A"/>
    <w:rsid w:val="0044044B"/>
    <w:rsid w:val="00440A91"/>
    <w:rsid w:val="00446359"/>
    <w:rsid w:val="0044781B"/>
    <w:rsid w:val="004558E8"/>
    <w:rsid w:val="00455D98"/>
    <w:rsid w:val="00457BAB"/>
    <w:rsid w:val="00463B73"/>
    <w:rsid w:val="00465A5D"/>
    <w:rsid w:val="004671D9"/>
    <w:rsid w:val="0047097E"/>
    <w:rsid w:val="00471DA8"/>
    <w:rsid w:val="00473185"/>
    <w:rsid w:val="00474D34"/>
    <w:rsid w:val="00474E7B"/>
    <w:rsid w:val="00476384"/>
    <w:rsid w:val="004765CE"/>
    <w:rsid w:val="00476DF7"/>
    <w:rsid w:val="0048222B"/>
    <w:rsid w:val="004843CF"/>
    <w:rsid w:val="00484656"/>
    <w:rsid w:val="00485004"/>
    <w:rsid w:val="00490046"/>
    <w:rsid w:val="00490338"/>
    <w:rsid w:val="00491E4F"/>
    <w:rsid w:val="0049414A"/>
    <w:rsid w:val="00495298"/>
    <w:rsid w:val="00495D25"/>
    <w:rsid w:val="004A5FB1"/>
    <w:rsid w:val="004A61C7"/>
    <w:rsid w:val="004B2AB4"/>
    <w:rsid w:val="004C06CC"/>
    <w:rsid w:val="004C45D6"/>
    <w:rsid w:val="004C684B"/>
    <w:rsid w:val="004C7048"/>
    <w:rsid w:val="004D0B16"/>
    <w:rsid w:val="004D58FC"/>
    <w:rsid w:val="004E1909"/>
    <w:rsid w:val="004E3B26"/>
    <w:rsid w:val="004E6549"/>
    <w:rsid w:val="004F6AA0"/>
    <w:rsid w:val="004F7DD1"/>
    <w:rsid w:val="005008F5"/>
    <w:rsid w:val="00505626"/>
    <w:rsid w:val="00507ECA"/>
    <w:rsid w:val="005149A0"/>
    <w:rsid w:val="0051673A"/>
    <w:rsid w:val="0052497A"/>
    <w:rsid w:val="00525183"/>
    <w:rsid w:val="00526530"/>
    <w:rsid w:val="0052682C"/>
    <w:rsid w:val="00530039"/>
    <w:rsid w:val="00534218"/>
    <w:rsid w:val="0053733E"/>
    <w:rsid w:val="0054602C"/>
    <w:rsid w:val="0054759E"/>
    <w:rsid w:val="00553AC3"/>
    <w:rsid w:val="0056058A"/>
    <w:rsid w:val="00561789"/>
    <w:rsid w:val="00570F61"/>
    <w:rsid w:val="005718CB"/>
    <w:rsid w:val="00571EAB"/>
    <w:rsid w:val="00574F65"/>
    <w:rsid w:val="00575F68"/>
    <w:rsid w:val="005779A1"/>
    <w:rsid w:val="00584C3D"/>
    <w:rsid w:val="00584FE4"/>
    <w:rsid w:val="0058534E"/>
    <w:rsid w:val="005917C7"/>
    <w:rsid w:val="005917D1"/>
    <w:rsid w:val="00595346"/>
    <w:rsid w:val="00595443"/>
    <w:rsid w:val="005A12A3"/>
    <w:rsid w:val="005A59E3"/>
    <w:rsid w:val="005B0DA8"/>
    <w:rsid w:val="005B14C9"/>
    <w:rsid w:val="005C00EA"/>
    <w:rsid w:val="005C0AFF"/>
    <w:rsid w:val="005C390E"/>
    <w:rsid w:val="005C39E4"/>
    <w:rsid w:val="005C582F"/>
    <w:rsid w:val="005C7309"/>
    <w:rsid w:val="005D5EB1"/>
    <w:rsid w:val="005D668E"/>
    <w:rsid w:val="005D7CDD"/>
    <w:rsid w:val="005E0564"/>
    <w:rsid w:val="005E0E2B"/>
    <w:rsid w:val="005E2660"/>
    <w:rsid w:val="005E3101"/>
    <w:rsid w:val="005F56B9"/>
    <w:rsid w:val="005F5B97"/>
    <w:rsid w:val="00605549"/>
    <w:rsid w:val="006060C8"/>
    <w:rsid w:val="00612D4F"/>
    <w:rsid w:val="00614ACA"/>
    <w:rsid w:val="00620727"/>
    <w:rsid w:val="00621136"/>
    <w:rsid w:val="00621B16"/>
    <w:rsid w:val="006250F4"/>
    <w:rsid w:val="006258B3"/>
    <w:rsid w:val="00626E8B"/>
    <w:rsid w:val="00630D64"/>
    <w:rsid w:val="00632110"/>
    <w:rsid w:val="00637FCF"/>
    <w:rsid w:val="00640A61"/>
    <w:rsid w:val="0064640D"/>
    <w:rsid w:val="006467DF"/>
    <w:rsid w:val="00647226"/>
    <w:rsid w:val="00651024"/>
    <w:rsid w:val="00651743"/>
    <w:rsid w:val="0065773A"/>
    <w:rsid w:val="006706A9"/>
    <w:rsid w:val="006717F6"/>
    <w:rsid w:val="00675614"/>
    <w:rsid w:val="006761D6"/>
    <w:rsid w:val="00681421"/>
    <w:rsid w:val="00681A29"/>
    <w:rsid w:val="00692139"/>
    <w:rsid w:val="00695B3D"/>
    <w:rsid w:val="006A059D"/>
    <w:rsid w:val="006A19A3"/>
    <w:rsid w:val="006A1F6B"/>
    <w:rsid w:val="006A49B3"/>
    <w:rsid w:val="006B08F7"/>
    <w:rsid w:val="006B191C"/>
    <w:rsid w:val="006B7550"/>
    <w:rsid w:val="006B76BD"/>
    <w:rsid w:val="006C0EE6"/>
    <w:rsid w:val="006C41FE"/>
    <w:rsid w:val="006C5506"/>
    <w:rsid w:val="006D13F5"/>
    <w:rsid w:val="006D7AEC"/>
    <w:rsid w:val="006E4E4D"/>
    <w:rsid w:val="007063B7"/>
    <w:rsid w:val="007078CF"/>
    <w:rsid w:val="00710228"/>
    <w:rsid w:val="00712DA4"/>
    <w:rsid w:val="007175A1"/>
    <w:rsid w:val="007226EF"/>
    <w:rsid w:val="00724847"/>
    <w:rsid w:val="007339B7"/>
    <w:rsid w:val="00734972"/>
    <w:rsid w:val="007359EB"/>
    <w:rsid w:val="00740855"/>
    <w:rsid w:val="00745522"/>
    <w:rsid w:val="007458BB"/>
    <w:rsid w:val="0075204C"/>
    <w:rsid w:val="00752775"/>
    <w:rsid w:val="007548C6"/>
    <w:rsid w:val="00754B2F"/>
    <w:rsid w:val="00757170"/>
    <w:rsid w:val="00764187"/>
    <w:rsid w:val="00764515"/>
    <w:rsid w:val="00765BC3"/>
    <w:rsid w:val="00766D5C"/>
    <w:rsid w:val="007702FD"/>
    <w:rsid w:val="00776651"/>
    <w:rsid w:val="007801B7"/>
    <w:rsid w:val="00786F79"/>
    <w:rsid w:val="00787BE7"/>
    <w:rsid w:val="00792EAB"/>
    <w:rsid w:val="00793AF9"/>
    <w:rsid w:val="00796396"/>
    <w:rsid w:val="00796C1D"/>
    <w:rsid w:val="007971DD"/>
    <w:rsid w:val="00797289"/>
    <w:rsid w:val="007A5A45"/>
    <w:rsid w:val="007A6FD2"/>
    <w:rsid w:val="007B478B"/>
    <w:rsid w:val="007C7460"/>
    <w:rsid w:val="007D2416"/>
    <w:rsid w:val="007D344E"/>
    <w:rsid w:val="007D42C7"/>
    <w:rsid w:val="007D52BE"/>
    <w:rsid w:val="007E0B2C"/>
    <w:rsid w:val="007E306C"/>
    <w:rsid w:val="007E6083"/>
    <w:rsid w:val="007F5ADF"/>
    <w:rsid w:val="007F6E52"/>
    <w:rsid w:val="00800A0D"/>
    <w:rsid w:val="00800D5C"/>
    <w:rsid w:val="008011CA"/>
    <w:rsid w:val="008067F3"/>
    <w:rsid w:val="00806932"/>
    <w:rsid w:val="008072BF"/>
    <w:rsid w:val="008108CF"/>
    <w:rsid w:val="00813322"/>
    <w:rsid w:val="008139CA"/>
    <w:rsid w:val="00815D9B"/>
    <w:rsid w:val="0082352B"/>
    <w:rsid w:val="008243F2"/>
    <w:rsid w:val="00831B75"/>
    <w:rsid w:val="008350DD"/>
    <w:rsid w:val="00844B24"/>
    <w:rsid w:val="0084645B"/>
    <w:rsid w:val="0084651A"/>
    <w:rsid w:val="00846919"/>
    <w:rsid w:val="008471F3"/>
    <w:rsid w:val="00847A61"/>
    <w:rsid w:val="0085151F"/>
    <w:rsid w:val="00851FFB"/>
    <w:rsid w:val="008568A7"/>
    <w:rsid w:val="008570FD"/>
    <w:rsid w:val="00857577"/>
    <w:rsid w:val="0086116D"/>
    <w:rsid w:val="008620D0"/>
    <w:rsid w:val="00862448"/>
    <w:rsid w:val="00870830"/>
    <w:rsid w:val="0087121B"/>
    <w:rsid w:val="008716CF"/>
    <w:rsid w:val="008728FB"/>
    <w:rsid w:val="0087344F"/>
    <w:rsid w:val="0087393C"/>
    <w:rsid w:val="00874A24"/>
    <w:rsid w:val="00882B14"/>
    <w:rsid w:val="0089107F"/>
    <w:rsid w:val="00891C81"/>
    <w:rsid w:val="008935E2"/>
    <w:rsid w:val="00896AB8"/>
    <w:rsid w:val="008A4B66"/>
    <w:rsid w:val="008A76BE"/>
    <w:rsid w:val="008B2D6A"/>
    <w:rsid w:val="008B6AE8"/>
    <w:rsid w:val="008C3F7B"/>
    <w:rsid w:val="008C6A3B"/>
    <w:rsid w:val="008D0B96"/>
    <w:rsid w:val="008D16E1"/>
    <w:rsid w:val="008D269B"/>
    <w:rsid w:val="008D5CCB"/>
    <w:rsid w:val="008D66BB"/>
    <w:rsid w:val="008E0391"/>
    <w:rsid w:val="008E0A75"/>
    <w:rsid w:val="008E3903"/>
    <w:rsid w:val="008E45D9"/>
    <w:rsid w:val="008E672E"/>
    <w:rsid w:val="008F0802"/>
    <w:rsid w:val="008F3FE2"/>
    <w:rsid w:val="008F4BE7"/>
    <w:rsid w:val="008F58E4"/>
    <w:rsid w:val="008F62F1"/>
    <w:rsid w:val="008F67C2"/>
    <w:rsid w:val="009010AE"/>
    <w:rsid w:val="009025E8"/>
    <w:rsid w:val="009033F6"/>
    <w:rsid w:val="009058F1"/>
    <w:rsid w:val="00905996"/>
    <w:rsid w:val="00907116"/>
    <w:rsid w:val="00907D0C"/>
    <w:rsid w:val="009123B4"/>
    <w:rsid w:val="0092182D"/>
    <w:rsid w:val="0092728B"/>
    <w:rsid w:val="0093389F"/>
    <w:rsid w:val="00936080"/>
    <w:rsid w:val="00947121"/>
    <w:rsid w:val="009613F1"/>
    <w:rsid w:val="00961D2F"/>
    <w:rsid w:val="00964735"/>
    <w:rsid w:val="00964B41"/>
    <w:rsid w:val="009730B7"/>
    <w:rsid w:val="009734B9"/>
    <w:rsid w:val="00973DBA"/>
    <w:rsid w:val="00974F88"/>
    <w:rsid w:val="00976EE7"/>
    <w:rsid w:val="0097757D"/>
    <w:rsid w:val="00985921"/>
    <w:rsid w:val="00985F0B"/>
    <w:rsid w:val="00986B9B"/>
    <w:rsid w:val="00994B98"/>
    <w:rsid w:val="009A0C84"/>
    <w:rsid w:val="009B07C8"/>
    <w:rsid w:val="009B6AC5"/>
    <w:rsid w:val="009B78E1"/>
    <w:rsid w:val="009C1D23"/>
    <w:rsid w:val="009C2554"/>
    <w:rsid w:val="009C6561"/>
    <w:rsid w:val="009D25FD"/>
    <w:rsid w:val="009D281C"/>
    <w:rsid w:val="009D3C77"/>
    <w:rsid w:val="009E3AF1"/>
    <w:rsid w:val="009F2A85"/>
    <w:rsid w:val="009F7BD2"/>
    <w:rsid w:val="00A00FEF"/>
    <w:rsid w:val="00A12184"/>
    <w:rsid w:val="00A123FD"/>
    <w:rsid w:val="00A13CFB"/>
    <w:rsid w:val="00A141CD"/>
    <w:rsid w:val="00A149C2"/>
    <w:rsid w:val="00A14EAC"/>
    <w:rsid w:val="00A208FC"/>
    <w:rsid w:val="00A2583F"/>
    <w:rsid w:val="00A26126"/>
    <w:rsid w:val="00A3169F"/>
    <w:rsid w:val="00A40E4B"/>
    <w:rsid w:val="00A41ED0"/>
    <w:rsid w:val="00A41F19"/>
    <w:rsid w:val="00A44194"/>
    <w:rsid w:val="00A61429"/>
    <w:rsid w:val="00A64214"/>
    <w:rsid w:val="00A64A48"/>
    <w:rsid w:val="00A67737"/>
    <w:rsid w:val="00A67B75"/>
    <w:rsid w:val="00A74826"/>
    <w:rsid w:val="00A81268"/>
    <w:rsid w:val="00A83525"/>
    <w:rsid w:val="00A87599"/>
    <w:rsid w:val="00A90E66"/>
    <w:rsid w:val="00A92D08"/>
    <w:rsid w:val="00A934F5"/>
    <w:rsid w:val="00A94657"/>
    <w:rsid w:val="00A967CF"/>
    <w:rsid w:val="00A96BB7"/>
    <w:rsid w:val="00AA092A"/>
    <w:rsid w:val="00AA39C8"/>
    <w:rsid w:val="00AA4905"/>
    <w:rsid w:val="00AC36A4"/>
    <w:rsid w:val="00AC3748"/>
    <w:rsid w:val="00AC482A"/>
    <w:rsid w:val="00AD0D9B"/>
    <w:rsid w:val="00AD4FE8"/>
    <w:rsid w:val="00AD6E60"/>
    <w:rsid w:val="00AD7F16"/>
    <w:rsid w:val="00AE41FE"/>
    <w:rsid w:val="00AE4485"/>
    <w:rsid w:val="00AF008C"/>
    <w:rsid w:val="00AF1EF5"/>
    <w:rsid w:val="00AF3D1E"/>
    <w:rsid w:val="00AF595A"/>
    <w:rsid w:val="00AF6C04"/>
    <w:rsid w:val="00AF6C46"/>
    <w:rsid w:val="00AF766F"/>
    <w:rsid w:val="00B02A74"/>
    <w:rsid w:val="00B03821"/>
    <w:rsid w:val="00B15ACC"/>
    <w:rsid w:val="00B176CC"/>
    <w:rsid w:val="00B17796"/>
    <w:rsid w:val="00B21F62"/>
    <w:rsid w:val="00B21FC4"/>
    <w:rsid w:val="00B23B0E"/>
    <w:rsid w:val="00B258CF"/>
    <w:rsid w:val="00B26859"/>
    <w:rsid w:val="00B30D61"/>
    <w:rsid w:val="00B3392B"/>
    <w:rsid w:val="00B33DD8"/>
    <w:rsid w:val="00B34D5B"/>
    <w:rsid w:val="00B37239"/>
    <w:rsid w:val="00B37D49"/>
    <w:rsid w:val="00B40AA0"/>
    <w:rsid w:val="00B4130E"/>
    <w:rsid w:val="00B460B0"/>
    <w:rsid w:val="00B47EDF"/>
    <w:rsid w:val="00B54344"/>
    <w:rsid w:val="00B64E9C"/>
    <w:rsid w:val="00B64FAF"/>
    <w:rsid w:val="00B707A7"/>
    <w:rsid w:val="00B8166E"/>
    <w:rsid w:val="00B901D3"/>
    <w:rsid w:val="00B905EF"/>
    <w:rsid w:val="00B91863"/>
    <w:rsid w:val="00B97969"/>
    <w:rsid w:val="00BA041F"/>
    <w:rsid w:val="00BA04CB"/>
    <w:rsid w:val="00BB00DB"/>
    <w:rsid w:val="00BB048D"/>
    <w:rsid w:val="00BB2FC3"/>
    <w:rsid w:val="00BB35E7"/>
    <w:rsid w:val="00BD27D9"/>
    <w:rsid w:val="00BD3978"/>
    <w:rsid w:val="00BD3FE2"/>
    <w:rsid w:val="00BD6AC8"/>
    <w:rsid w:val="00BE364B"/>
    <w:rsid w:val="00BE55F1"/>
    <w:rsid w:val="00BF2092"/>
    <w:rsid w:val="00C00432"/>
    <w:rsid w:val="00C009A5"/>
    <w:rsid w:val="00C00F5F"/>
    <w:rsid w:val="00C05B6B"/>
    <w:rsid w:val="00C05CB4"/>
    <w:rsid w:val="00C109D9"/>
    <w:rsid w:val="00C10DBA"/>
    <w:rsid w:val="00C113AC"/>
    <w:rsid w:val="00C113D8"/>
    <w:rsid w:val="00C129CC"/>
    <w:rsid w:val="00C215C9"/>
    <w:rsid w:val="00C219DF"/>
    <w:rsid w:val="00C23EF8"/>
    <w:rsid w:val="00C24CE8"/>
    <w:rsid w:val="00C25F57"/>
    <w:rsid w:val="00C31D0F"/>
    <w:rsid w:val="00C32F0A"/>
    <w:rsid w:val="00C34779"/>
    <w:rsid w:val="00C347EC"/>
    <w:rsid w:val="00C376BB"/>
    <w:rsid w:val="00C3799D"/>
    <w:rsid w:val="00C40B04"/>
    <w:rsid w:val="00C458A2"/>
    <w:rsid w:val="00C5450C"/>
    <w:rsid w:val="00C61EB0"/>
    <w:rsid w:val="00C62B7E"/>
    <w:rsid w:val="00C66EBF"/>
    <w:rsid w:val="00C6760C"/>
    <w:rsid w:val="00C67FCC"/>
    <w:rsid w:val="00C779EA"/>
    <w:rsid w:val="00C82571"/>
    <w:rsid w:val="00C835D1"/>
    <w:rsid w:val="00C842E9"/>
    <w:rsid w:val="00C859CD"/>
    <w:rsid w:val="00C86369"/>
    <w:rsid w:val="00C97851"/>
    <w:rsid w:val="00CA207D"/>
    <w:rsid w:val="00CA4667"/>
    <w:rsid w:val="00CA50B4"/>
    <w:rsid w:val="00CA576D"/>
    <w:rsid w:val="00CB044F"/>
    <w:rsid w:val="00CB05A7"/>
    <w:rsid w:val="00CB073E"/>
    <w:rsid w:val="00CB2C17"/>
    <w:rsid w:val="00CD5763"/>
    <w:rsid w:val="00CD60F1"/>
    <w:rsid w:val="00CD6127"/>
    <w:rsid w:val="00CD6A42"/>
    <w:rsid w:val="00CD76F3"/>
    <w:rsid w:val="00CE1CE2"/>
    <w:rsid w:val="00CE72B4"/>
    <w:rsid w:val="00CE7F95"/>
    <w:rsid w:val="00CF250C"/>
    <w:rsid w:val="00CF2BDA"/>
    <w:rsid w:val="00CF6BEE"/>
    <w:rsid w:val="00CF773A"/>
    <w:rsid w:val="00CF796F"/>
    <w:rsid w:val="00D01747"/>
    <w:rsid w:val="00D02007"/>
    <w:rsid w:val="00D02DC3"/>
    <w:rsid w:val="00D03504"/>
    <w:rsid w:val="00D0664D"/>
    <w:rsid w:val="00D10102"/>
    <w:rsid w:val="00D17DE6"/>
    <w:rsid w:val="00D21FF1"/>
    <w:rsid w:val="00D27CE2"/>
    <w:rsid w:val="00D3677F"/>
    <w:rsid w:val="00D40F71"/>
    <w:rsid w:val="00D45912"/>
    <w:rsid w:val="00D53198"/>
    <w:rsid w:val="00D571CC"/>
    <w:rsid w:val="00D57BC9"/>
    <w:rsid w:val="00D61A6E"/>
    <w:rsid w:val="00D65BF3"/>
    <w:rsid w:val="00D750A0"/>
    <w:rsid w:val="00D777A4"/>
    <w:rsid w:val="00D82D7C"/>
    <w:rsid w:val="00D831BA"/>
    <w:rsid w:val="00D84D03"/>
    <w:rsid w:val="00D91397"/>
    <w:rsid w:val="00D94DF7"/>
    <w:rsid w:val="00D96ED3"/>
    <w:rsid w:val="00DA00E6"/>
    <w:rsid w:val="00DA0D35"/>
    <w:rsid w:val="00DA1585"/>
    <w:rsid w:val="00DA3089"/>
    <w:rsid w:val="00DA4CA8"/>
    <w:rsid w:val="00DB3699"/>
    <w:rsid w:val="00DD0F25"/>
    <w:rsid w:val="00DD3448"/>
    <w:rsid w:val="00DD4712"/>
    <w:rsid w:val="00DE4D50"/>
    <w:rsid w:val="00DE607E"/>
    <w:rsid w:val="00DE63F7"/>
    <w:rsid w:val="00DE76E5"/>
    <w:rsid w:val="00DF71BA"/>
    <w:rsid w:val="00E04A30"/>
    <w:rsid w:val="00E04E6F"/>
    <w:rsid w:val="00E12926"/>
    <w:rsid w:val="00E139B9"/>
    <w:rsid w:val="00E143E8"/>
    <w:rsid w:val="00E150EE"/>
    <w:rsid w:val="00E15317"/>
    <w:rsid w:val="00E207C7"/>
    <w:rsid w:val="00E26E9E"/>
    <w:rsid w:val="00E413E7"/>
    <w:rsid w:val="00E44209"/>
    <w:rsid w:val="00E4536F"/>
    <w:rsid w:val="00E46100"/>
    <w:rsid w:val="00E4623A"/>
    <w:rsid w:val="00E50808"/>
    <w:rsid w:val="00E5233A"/>
    <w:rsid w:val="00E52C7E"/>
    <w:rsid w:val="00E55A70"/>
    <w:rsid w:val="00E56A10"/>
    <w:rsid w:val="00E73313"/>
    <w:rsid w:val="00E748FC"/>
    <w:rsid w:val="00E8594E"/>
    <w:rsid w:val="00E871CA"/>
    <w:rsid w:val="00E87439"/>
    <w:rsid w:val="00E93A36"/>
    <w:rsid w:val="00E946DD"/>
    <w:rsid w:val="00EB26C4"/>
    <w:rsid w:val="00EB3986"/>
    <w:rsid w:val="00EC560B"/>
    <w:rsid w:val="00EC61F1"/>
    <w:rsid w:val="00ED046C"/>
    <w:rsid w:val="00ED145A"/>
    <w:rsid w:val="00ED1840"/>
    <w:rsid w:val="00ED369D"/>
    <w:rsid w:val="00ED3856"/>
    <w:rsid w:val="00EE168A"/>
    <w:rsid w:val="00EE3BFF"/>
    <w:rsid w:val="00EE408A"/>
    <w:rsid w:val="00EE5B50"/>
    <w:rsid w:val="00EE702B"/>
    <w:rsid w:val="00EE78CE"/>
    <w:rsid w:val="00EE7DE8"/>
    <w:rsid w:val="00EF0008"/>
    <w:rsid w:val="00EF072B"/>
    <w:rsid w:val="00EF1A0B"/>
    <w:rsid w:val="00EF3705"/>
    <w:rsid w:val="00EF601A"/>
    <w:rsid w:val="00EF6D70"/>
    <w:rsid w:val="00EF7121"/>
    <w:rsid w:val="00F00803"/>
    <w:rsid w:val="00F00A9C"/>
    <w:rsid w:val="00F13DA6"/>
    <w:rsid w:val="00F162C3"/>
    <w:rsid w:val="00F17DEB"/>
    <w:rsid w:val="00F21664"/>
    <w:rsid w:val="00F21BC6"/>
    <w:rsid w:val="00F2346B"/>
    <w:rsid w:val="00F23AEA"/>
    <w:rsid w:val="00F327DF"/>
    <w:rsid w:val="00F34A0A"/>
    <w:rsid w:val="00F34ADB"/>
    <w:rsid w:val="00F40418"/>
    <w:rsid w:val="00F4130A"/>
    <w:rsid w:val="00F46D00"/>
    <w:rsid w:val="00F47CE5"/>
    <w:rsid w:val="00F5117D"/>
    <w:rsid w:val="00F512AC"/>
    <w:rsid w:val="00F521E4"/>
    <w:rsid w:val="00F63A48"/>
    <w:rsid w:val="00F64445"/>
    <w:rsid w:val="00F67AAF"/>
    <w:rsid w:val="00F70736"/>
    <w:rsid w:val="00F71D80"/>
    <w:rsid w:val="00F72468"/>
    <w:rsid w:val="00F73A88"/>
    <w:rsid w:val="00F73D0A"/>
    <w:rsid w:val="00F74764"/>
    <w:rsid w:val="00F75322"/>
    <w:rsid w:val="00F77359"/>
    <w:rsid w:val="00F777A0"/>
    <w:rsid w:val="00F803FE"/>
    <w:rsid w:val="00F82FB1"/>
    <w:rsid w:val="00F87F4E"/>
    <w:rsid w:val="00F9011E"/>
    <w:rsid w:val="00F90622"/>
    <w:rsid w:val="00F94E4D"/>
    <w:rsid w:val="00F95E27"/>
    <w:rsid w:val="00F9650B"/>
    <w:rsid w:val="00FA483C"/>
    <w:rsid w:val="00FA4C20"/>
    <w:rsid w:val="00FB0120"/>
    <w:rsid w:val="00FB54B3"/>
    <w:rsid w:val="00FC0525"/>
    <w:rsid w:val="00FC0F28"/>
    <w:rsid w:val="00FC223A"/>
    <w:rsid w:val="00FD27C2"/>
    <w:rsid w:val="00FD2FC2"/>
    <w:rsid w:val="00FD3FD6"/>
    <w:rsid w:val="00FE27BA"/>
    <w:rsid w:val="00FF0993"/>
    <w:rsid w:val="00FF188A"/>
    <w:rsid w:val="00FF2823"/>
    <w:rsid w:val="00FF2832"/>
    <w:rsid w:val="00FF4110"/>
    <w:rsid w:val="00FF5151"/>
    <w:rsid w:val="00FF5598"/>
    <w:rsid w:val="00FF662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166F143"/>
  <w15:chartTrackingRefBased/>
  <w15:docId w15:val="{912A162E-AFAD-47A8-8633-43ADB2E3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2" w:qFormat="1"/>
    <w:lsdException w:name="heading 2" w:locked="0" w:uiPriority="2" w:qFormat="1"/>
    <w:lsdException w:name="heading 3" w:locked="0" w:uiPriority="2" w:qFormat="1"/>
    <w:lsdException w:name="heading 4" w:locked="0" w:uiPriority="2"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semiHidden="1" w:unhideWhenUsed="1"/>
    <w:lsdException w:name="List Number" w:semiHidden="1" w:unhideWhenUsed="1"/>
    <w:lsdException w:name="List 2" w:locked="0" w:semiHidden="1" w:unhideWhenUsed="1"/>
    <w:lsdException w:name="List 3" w:locked="0" w:semiHidden="1" w:unhideWhenUsed="1"/>
    <w:lsdException w:name="List 4" w:locked="0" w:semiHidden="1" w:unhideWhenUsed="1"/>
    <w:lsdException w:name="List 5" w:semiHidden="1" w:unhideWhenUsed="1"/>
    <w:lsdException w:name="List Bullet 2" w:locked="0" w:semiHidden="1" w:unhideWhenUsed="1"/>
    <w:lsdException w:name="List Bullet 3" w:locked="0"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0"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locked="0"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locked="0" w:uiPriority="52"/>
    <w:lsdException w:name="Grid Table 1 Light Accent 4" w:uiPriority="46"/>
    <w:lsdException w:name="Grid Table 2 Accent 4" w:locked="0"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locked="0" w:uiPriority="46"/>
    <w:lsdException w:name="List Table 2 Accent 3" w:locked="0" w:uiPriority="47"/>
    <w:lsdException w:name="List Table 3 Accent 3" w:locked="0" w:uiPriority="48"/>
    <w:lsdException w:name="List Table 4 Accent 3"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uiPriority="48"/>
    <w:lsdException w:name="List Table 4 Accent 4" w:locked="0" w:uiPriority="49"/>
    <w:lsdException w:name="List Table 5 Dark Accent 4" w:locked="0" w:uiPriority="50"/>
    <w:lsdException w:name="List Table 6 Colorful Accent 4" w:locked="0"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e">
    <w:name w:val="Normal"/>
    <w:semiHidden/>
    <w:qFormat/>
    <w:rsid w:val="00342E2A"/>
    <w:pPr>
      <w:adjustRightInd w:val="0"/>
      <w:snapToGrid w:val="0"/>
      <w:spacing w:after="0" w:line="240" w:lineRule="exact"/>
    </w:pPr>
    <w:rPr>
      <w:rFonts w:ascii="Arial" w:hAnsi="Arial"/>
      <w:sz w:val="20"/>
      <w:lang w:val="en-GB"/>
    </w:rPr>
  </w:style>
  <w:style w:type="paragraph" w:styleId="Titolo1">
    <w:name w:val="heading 1"/>
    <w:basedOn w:val="Normale"/>
    <w:next w:val="Corpotesto"/>
    <w:link w:val="Titolo1Carattere"/>
    <w:autoRedefine/>
    <w:uiPriority w:val="2"/>
    <w:qFormat/>
    <w:rsid w:val="008471F3"/>
    <w:pPr>
      <w:keepNext/>
      <w:keepLines/>
      <w:framePr w:hSpace="181" w:wrap="around" w:vAnchor="page" w:hAnchor="margin" w:y="931"/>
      <w:tabs>
        <w:tab w:val="left" w:pos="8802"/>
      </w:tabs>
      <w:spacing w:after="120" w:line="280" w:lineRule="exact"/>
      <w:suppressOverlap/>
      <w:outlineLvl w:val="0"/>
    </w:pPr>
    <w:rPr>
      <w:rFonts w:eastAsiaTheme="majorEastAsia" w:cstheme="majorBidi"/>
      <w:b/>
      <w:color w:val="003168" w:themeColor="text2"/>
      <w:sz w:val="14"/>
      <w:szCs w:val="14"/>
      <w:lang w:val="it-IT" w:eastAsia="en-US"/>
    </w:rPr>
  </w:style>
  <w:style w:type="paragraph" w:styleId="Titolo2">
    <w:name w:val="heading 2"/>
    <w:basedOn w:val="Normale"/>
    <w:next w:val="Normale"/>
    <w:link w:val="Titolo2Carattere"/>
    <w:autoRedefine/>
    <w:uiPriority w:val="2"/>
    <w:qFormat/>
    <w:rsid w:val="00342E2A"/>
    <w:pPr>
      <w:keepNext/>
      <w:keepLines/>
      <w:spacing w:before="240" w:after="40" w:line="264" w:lineRule="auto"/>
      <w:outlineLvl w:val="1"/>
    </w:pPr>
    <w:rPr>
      <w:rFonts w:eastAsiaTheme="majorEastAsia" w:cstheme="majorBidi"/>
      <w:b/>
      <w:color w:val="000000" w:themeColor="text1"/>
      <w:sz w:val="24"/>
      <w:szCs w:val="26"/>
    </w:rPr>
  </w:style>
  <w:style w:type="paragraph" w:styleId="Titolo3">
    <w:name w:val="heading 3"/>
    <w:basedOn w:val="Normale"/>
    <w:next w:val="Normale"/>
    <w:link w:val="Titolo3Carattere"/>
    <w:autoRedefine/>
    <w:uiPriority w:val="2"/>
    <w:qFormat/>
    <w:rsid w:val="00342E2A"/>
    <w:pPr>
      <w:keepNext/>
      <w:keepLines/>
      <w:spacing w:before="180" w:after="40"/>
      <w:outlineLvl w:val="2"/>
    </w:pPr>
    <w:rPr>
      <w:rFonts w:eastAsiaTheme="majorEastAsia" w:cstheme="majorBidi"/>
      <w:b/>
      <w:color w:val="003168" w:themeColor="accent1"/>
      <w:szCs w:val="24"/>
    </w:rPr>
  </w:style>
  <w:style w:type="paragraph" w:styleId="Titolo4">
    <w:name w:val="heading 4"/>
    <w:basedOn w:val="Normale"/>
    <w:next w:val="Normale"/>
    <w:link w:val="Titolo4Carattere"/>
    <w:autoRedefine/>
    <w:uiPriority w:val="2"/>
    <w:qFormat/>
    <w:rsid w:val="00342E2A"/>
    <w:pPr>
      <w:keepNext/>
      <w:keepLines/>
      <w:spacing w:before="180" w:after="40" w:line="264" w:lineRule="auto"/>
      <w:outlineLvl w:val="3"/>
    </w:pPr>
    <w:rPr>
      <w:rFonts w:eastAsiaTheme="majorEastAsia" w:cstheme="majorBidi"/>
      <w:b/>
      <w:iCs/>
      <w:color w:val="000000" w:themeColor="tex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2"/>
    <w:rsid w:val="008471F3"/>
    <w:rPr>
      <w:rFonts w:ascii="Arial" w:eastAsiaTheme="majorEastAsia" w:hAnsi="Arial" w:cstheme="majorBidi"/>
      <w:b/>
      <w:color w:val="003168" w:themeColor="text2"/>
      <w:sz w:val="14"/>
      <w:szCs w:val="14"/>
      <w:lang w:val="it-IT" w:eastAsia="en-US"/>
    </w:rPr>
  </w:style>
  <w:style w:type="character" w:customStyle="1" w:styleId="Titolo2Carattere">
    <w:name w:val="Titolo 2 Carattere"/>
    <w:basedOn w:val="Carpredefinitoparagrafo"/>
    <w:link w:val="Titolo2"/>
    <w:uiPriority w:val="2"/>
    <w:rsid w:val="00342E2A"/>
    <w:rPr>
      <w:rFonts w:ascii="Arial" w:eastAsiaTheme="majorEastAsia" w:hAnsi="Arial" w:cstheme="majorBidi"/>
      <w:b/>
      <w:color w:val="000000" w:themeColor="text1"/>
      <w:sz w:val="24"/>
      <w:szCs w:val="26"/>
      <w:lang w:val="en-GB"/>
    </w:rPr>
  </w:style>
  <w:style w:type="character" w:customStyle="1" w:styleId="Titolo3Carattere">
    <w:name w:val="Titolo 3 Carattere"/>
    <w:basedOn w:val="Carpredefinitoparagrafo"/>
    <w:link w:val="Titolo3"/>
    <w:uiPriority w:val="2"/>
    <w:rsid w:val="00342E2A"/>
    <w:rPr>
      <w:rFonts w:ascii="Arial" w:eastAsiaTheme="majorEastAsia" w:hAnsi="Arial" w:cstheme="majorBidi"/>
      <w:b/>
      <w:color w:val="003168" w:themeColor="accent1"/>
      <w:sz w:val="20"/>
      <w:szCs w:val="24"/>
      <w:lang w:val="en-GB"/>
    </w:rPr>
  </w:style>
  <w:style w:type="character" w:customStyle="1" w:styleId="Titolo4Carattere">
    <w:name w:val="Titolo 4 Carattere"/>
    <w:basedOn w:val="Carpredefinitoparagrafo"/>
    <w:link w:val="Titolo4"/>
    <w:uiPriority w:val="2"/>
    <w:rsid w:val="00342E2A"/>
    <w:rPr>
      <w:rFonts w:ascii="Arial" w:eastAsiaTheme="majorEastAsia" w:hAnsi="Arial" w:cstheme="majorBidi"/>
      <w:b/>
      <w:iCs/>
      <w:color w:val="000000" w:themeColor="text1"/>
      <w:sz w:val="20"/>
      <w:lang w:val="en-GB"/>
    </w:rPr>
  </w:style>
  <w:style w:type="numbering" w:customStyle="1" w:styleId="Bullets">
    <w:name w:val="Bullets"/>
    <w:uiPriority w:val="99"/>
    <w:rsid w:val="00310D64"/>
    <w:pPr>
      <w:numPr>
        <w:numId w:val="1"/>
      </w:numPr>
    </w:pPr>
  </w:style>
  <w:style w:type="paragraph" w:customStyle="1" w:styleId="BulletList1">
    <w:name w:val="Bullet List 1"/>
    <w:basedOn w:val="Normale"/>
    <w:uiPriority w:val="99"/>
    <w:semiHidden/>
    <w:qFormat/>
    <w:rsid w:val="00310D64"/>
    <w:pPr>
      <w:numPr>
        <w:numId w:val="1"/>
      </w:numPr>
    </w:pPr>
  </w:style>
  <w:style w:type="paragraph" w:customStyle="1" w:styleId="BulletList2">
    <w:name w:val="Bullet List 2"/>
    <w:basedOn w:val="BulletList1"/>
    <w:uiPriority w:val="99"/>
    <w:semiHidden/>
    <w:qFormat/>
    <w:rsid w:val="00310D64"/>
    <w:pPr>
      <w:numPr>
        <w:ilvl w:val="1"/>
      </w:numPr>
    </w:pPr>
  </w:style>
  <w:style w:type="paragraph" w:customStyle="1" w:styleId="NumberedList">
    <w:name w:val="Numbered List"/>
    <w:basedOn w:val="Normale"/>
    <w:uiPriority w:val="99"/>
    <w:semiHidden/>
    <w:qFormat/>
    <w:locked/>
    <w:rsid w:val="00D57BC9"/>
  </w:style>
  <w:style w:type="paragraph" w:customStyle="1" w:styleId="LetteredList">
    <w:name w:val="Lettered List"/>
    <w:basedOn w:val="NumberedList"/>
    <w:uiPriority w:val="99"/>
    <w:semiHidden/>
    <w:qFormat/>
    <w:locked/>
    <w:rsid w:val="00D57BC9"/>
  </w:style>
  <w:style w:type="numbering" w:customStyle="1" w:styleId="Numbers">
    <w:name w:val="Numbers"/>
    <w:uiPriority w:val="99"/>
    <w:locked/>
    <w:rsid w:val="00D57BC9"/>
    <w:pPr>
      <w:numPr>
        <w:numId w:val="3"/>
      </w:numPr>
    </w:pPr>
  </w:style>
  <w:style w:type="paragraph" w:customStyle="1" w:styleId="Disclaimertext">
    <w:name w:val="Disclaimer text"/>
    <w:basedOn w:val="Puntoelenco2"/>
    <w:link w:val="DisclaimertextChar"/>
    <w:uiPriority w:val="16"/>
    <w:qFormat/>
    <w:rsid w:val="00FB0120"/>
    <w:pPr>
      <w:numPr>
        <w:ilvl w:val="0"/>
        <w:numId w:val="0"/>
      </w:numPr>
      <w:spacing w:after="100"/>
    </w:pPr>
    <w:rPr>
      <w:sz w:val="16"/>
    </w:rPr>
  </w:style>
  <w:style w:type="paragraph" w:customStyle="1" w:styleId="NumberedList1">
    <w:name w:val="Numbered List 1"/>
    <w:basedOn w:val="Elenco"/>
    <w:uiPriority w:val="4"/>
    <w:qFormat/>
    <w:rsid w:val="00C10DBA"/>
  </w:style>
  <w:style w:type="paragraph" w:customStyle="1" w:styleId="Numberedlist2">
    <w:name w:val="Numbered list 2"/>
    <w:basedOn w:val="Elenco2"/>
    <w:autoRedefine/>
    <w:uiPriority w:val="4"/>
    <w:qFormat/>
    <w:rsid w:val="002D3B13"/>
  </w:style>
  <w:style w:type="paragraph" w:styleId="Testofumetto">
    <w:name w:val="Balloon Text"/>
    <w:basedOn w:val="Normale"/>
    <w:link w:val="TestofumettoCarattere"/>
    <w:uiPriority w:val="99"/>
    <w:semiHidden/>
    <w:unhideWhenUsed/>
    <w:locked/>
    <w:rsid w:val="00F9650B"/>
    <w:pPr>
      <w:spacing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F9650B"/>
    <w:rPr>
      <w:rFonts w:ascii="Segoe UI" w:hAnsi="Segoe UI" w:cs="Segoe UI"/>
      <w:sz w:val="18"/>
      <w:szCs w:val="18"/>
    </w:rPr>
  </w:style>
  <w:style w:type="paragraph" w:styleId="Data">
    <w:name w:val="Date"/>
    <w:basedOn w:val="Normale"/>
    <w:next w:val="Normale"/>
    <w:link w:val="DataCarattere"/>
    <w:uiPriority w:val="99"/>
    <w:semiHidden/>
    <w:unhideWhenUsed/>
    <w:locked/>
    <w:rsid w:val="00C835D1"/>
  </w:style>
  <w:style w:type="character" w:customStyle="1" w:styleId="DataCarattere">
    <w:name w:val="Data Carattere"/>
    <w:basedOn w:val="Carpredefinitoparagrafo"/>
    <w:link w:val="Data"/>
    <w:uiPriority w:val="99"/>
    <w:semiHidden/>
    <w:rsid w:val="00C835D1"/>
  </w:style>
  <w:style w:type="paragraph" w:styleId="Titolo">
    <w:name w:val="Title"/>
    <w:link w:val="TitoloCarattere"/>
    <w:autoRedefine/>
    <w:qFormat/>
    <w:rsid w:val="00E150EE"/>
    <w:pPr>
      <w:framePr w:hSpace="181" w:wrap="around" w:vAnchor="page" w:hAnchor="margin" w:y="931"/>
      <w:adjustRightInd w:val="0"/>
      <w:snapToGrid w:val="0"/>
      <w:spacing w:after="0" w:line="480" w:lineRule="exact"/>
      <w:suppressOverlap/>
    </w:pPr>
    <w:rPr>
      <w:rFonts w:ascii="Arial" w:eastAsiaTheme="majorEastAsia" w:hAnsi="Arial" w:cstheme="majorBidi"/>
      <w:b/>
      <w:color w:val="003168" w:themeColor="text2"/>
      <w:kern w:val="28"/>
      <w:sz w:val="44"/>
      <w:szCs w:val="56"/>
      <w:lang w:val="en-GB"/>
    </w:rPr>
  </w:style>
  <w:style w:type="character" w:customStyle="1" w:styleId="TitoloCarattere">
    <w:name w:val="Titolo Carattere"/>
    <w:basedOn w:val="Carpredefinitoparagrafo"/>
    <w:link w:val="Titolo"/>
    <w:rsid w:val="00E150EE"/>
    <w:rPr>
      <w:rFonts w:ascii="Arial" w:eastAsiaTheme="majorEastAsia" w:hAnsi="Arial" w:cstheme="majorBidi"/>
      <w:b/>
      <w:color w:val="003168" w:themeColor="text2"/>
      <w:kern w:val="28"/>
      <w:sz w:val="44"/>
      <w:szCs w:val="56"/>
      <w:lang w:val="en-GB"/>
    </w:rPr>
  </w:style>
  <w:style w:type="table" w:styleId="Tabellasemplice-3">
    <w:name w:val="Plain Table 3"/>
    <w:basedOn w:val="Tabellanormale"/>
    <w:uiPriority w:val="43"/>
    <w:locked/>
    <w:rsid w:val="00E4623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ottotitolo">
    <w:name w:val="Subtitle"/>
    <w:link w:val="SottotitoloCarattere"/>
    <w:autoRedefine/>
    <w:uiPriority w:val="1"/>
    <w:qFormat/>
    <w:rsid w:val="00C86369"/>
    <w:pPr>
      <w:framePr w:hSpace="181" w:wrap="around" w:vAnchor="page" w:hAnchor="margin" w:y="1861"/>
      <w:numPr>
        <w:ilvl w:val="1"/>
      </w:numPr>
      <w:spacing w:after="0" w:line="300" w:lineRule="exact"/>
      <w:suppressOverlap/>
    </w:pPr>
    <w:rPr>
      <w:rFonts w:ascii="Arial" w:hAnsi="Arial"/>
      <w:color w:val="000000" w:themeColor="text1"/>
      <w:sz w:val="28"/>
      <w:lang w:val="en-GB"/>
    </w:rPr>
  </w:style>
  <w:style w:type="character" w:customStyle="1" w:styleId="SottotitoloCarattere">
    <w:name w:val="Sottotitolo Carattere"/>
    <w:basedOn w:val="Carpredefinitoparagrafo"/>
    <w:link w:val="Sottotitolo"/>
    <w:uiPriority w:val="1"/>
    <w:rsid w:val="00C86369"/>
    <w:rPr>
      <w:rFonts w:ascii="Arial" w:hAnsi="Arial"/>
      <w:color w:val="000000" w:themeColor="text1"/>
      <w:sz w:val="28"/>
      <w:lang w:val="en-GB"/>
    </w:rPr>
  </w:style>
  <w:style w:type="paragraph" w:styleId="Corpotesto">
    <w:name w:val="Body Text"/>
    <w:link w:val="CorpotestoCarattere"/>
    <w:autoRedefine/>
    <w:qFormat/>
    <w:rsid w:val="006C41FE"/>
    <w:pPr>
      <w:adjustRightInd w:val="0"/>
      <w:spacing w:after="0" w:line="240" w:lineRule="auto"/>
      <w:jc w:val="both"/>
    </w:pPr>
    <w:rPr>
      <w:rFonts w:ascii="Arial" w:eastAsia="MS Mincho" w:hAnsi="Arial" w:cs="Times New Roman"/>
      <w:kern w:val="16"/>
      <w:sz w:val="20"/>
      <w:szCs w:val="20"/>
      <w:lang w:eastAsia="en-US"/>
    </w:rPr>
  </w:style>
  <w:style w:type="paragraph" w:customStyle="1" w:styleId="CoverDate">
    <w:name w:val="Cover Date"/>
    <w:basedOn w:val="Normale"/>
    <w:uiPriority w:val="2"/>
    <w:qFormat/>
    <w:rsid w:val="00FB0120"/>
    <w:pPr>
      <w:framePr w:hSpace="180" w:wrap="around" w:vAnchor="text" w:hAnchor="text" w:y="1"/>
      <w:spacing w:line="300" w:lineRule="auto"/>
      <w:suppressOverlap/>
    </w:pPr>
    <w:rPr>
      <w:sz w:val="24"/>
    </w:rPr>
  </w:style>
  <w:style w:type="character" w:customStyle="1" w:styleId="CorpotestoCarattere">
    <w:name w:val="Corpo testo Carattere"/>
    <w:basedOn w:val="Carpredefinitoparagrafo"/>
    <w:link w:val="Corpotesto"/>
    <w:rsid w:val="006C41FE"/>
    <w:rPr>
      <w:rFonts w:ascii="Arial" w:eastAsia="MS Mincho" w:hAnsi="Arial" w:cs="Times New Roman"/>
      <w:kern w:val="16"/>
      <w:sz w:val="20"/>
      <w:szCs w:val="20"/>
      <w:lang w:eastAsia="en-US"/>
    </w:rPr>
  </w:style>
  <w:style w:type="paragraph" w:styleId="Elenco">
    <w:name w:val="List"/>
    <w:basedOn w:val="Corpotesto"/>
    <w:link w:val="ElencoCarattere"/>
    <w:autoRedefine/>
    <w:uiPriority w:val="99"/>
    <w:semiHidden/>
    <w:locked/>
    <w:rsid w:val="00140723"/>
    <w:pPr>
      <w:numPr>
        <w:numId w:val="6"/>
      </w:numPr>
      <w:ind w:left="426" w:hanging="426"/>
    </w:pPr>
    <w:rPr>
      <w:szCs w:val="19"/>
      <w:lang w:val="en-CA"/>
    </w:rPr>
  </w:style>
  <w:style w:type="character" w:customStyle="1" w:styleId="ElencoCarattere">
    <w:name w:val="Elenco Carattere"/>
    <w:basedOn w:val="Carpredefinitoparagrafo"/>
    <w:link w:val="Elenco"/>
    <w:uiPriority w:val="99"/>
    <w:semiHidden/>
    <w:rsid w:val="00813322"/>
    <w:rPr>
      <w:rFonts w:ascii="RBC Text" w:eastAsia="MS Mincho" w:hAnsi="RBC Text" w:cs="Times New Roman"/>
      <w:color w:val="000000" w:themeColor="text1"/>
      <w:kern w:val="16"/>
      <w:sz w:val="18"/>
      <w:szCs w:val="19"/>
      <w:lang w:val="en-CA" w:eastAsia="ja-JP"/>
    </w:rPr>
  </w:style>
  <w:style w:type="paragraph" w:styleId="Elenco2">
    <w:name w:val="List 2"/>
    <w:basedOn w:val="Puntoelenco2"/>
    <w:autoRedefine/>
    <w:uiPriority w:val="99"/>
    <w:semiHidden/>
    <w:locked/>
    <w:rsid w:val="00764515"/>
    <w:pPr>
      <w:numPr>
        <w:numId w:val="5"/>
      </w:numPr>
      <w:tabs>
        <w:tab w:val="num" w:pos="360"/>
      </w:tabs>
      <w:ind w:left="851" w:hanging="425"/>
    </w:pPr>
    <w:rPr>
      <w:sz w:val="20"/>
    </w:rPr>
  </w:style>
  <w:style w:type="paragraph" w:styleId="Elenco3">
    <w:name w:val="List 3"/>
    <w:basedOn w:val="Puntoelenco2"/>
    <w:autoRedefine/>
    <w:uiPriority w:val="99"/>
    <w:semiHidden/>
    <w:locked/>
    <w:rsid w:val="00764515"/>
    <w:pPr>
      <w:numPr>
        <w:ilvl w:val="2"/>
        <w:numId w:val="5"/>
      </w:numPr>
      <w:tabs>
        <w:tab w:val="num" w:pos="360"/>
      </w:tabs>
      <w:ind w:left="1418" w:hanging="567"/>
    </w:pPr>
    <w:rPr>
      <w:sz w:val="20"/>
    </w:rPr>
  </w:style>
  <w:style w:type="paragraph" w:styleId="Elenco4">
    <w:name w:val="List 4"/>
    <w:basedOn w:val="Puntoelenco2"/>
    <w:autoRedefine/>
    <w:uiPriority w:val="99"/>
    <w:semiHidden/>
    <w:locked/>
    <w:rsid w:val="00764515"/>
    <w:pPr>
      <w:numPr>
        <w:ilvl w:val="3"/>
        <w:numId w:val="5"/>
      </w:numPr>
      <w:tabs>
        <w:tab w:val="num" w:pos="2156"/>
      </w:tabs>
      <w:spacing w:line="240" w:lineRule="exact"/>
      <w:ind w:left="2137" w:hanging="697"/>
    </w:pPr>
    <w:rPr>
      <w:sz w:val="20"/>
    </w:rPr>
  </w:style>
  <w:style w:type="paragraph" w:styleId="Puntoelenco">
    <w:name w:val="List Bullet"/>
    <w:link w:val="PuntoelencoCarattere"/>
    <w:autoRedefine/>
    <w:uiPriority w:val="99"/>
    <w:semiHidden/>
    <w:rsid w:val="008935E2"/>
    <w:pPr>
      <w:numPr>
        <w:numId w:val="7"/>
      </w:numPr>
      <w:spacing w:before="80" w:after="120" w:line="300" w:lineRule="auto"/>
      <w:ind w:left="284" w:hanging="284"/>
    </w:pPr>
    <w:rPr>
      <w:rFonts w:ascii="Arial" w:eastAsia="MS Mincho" w:hAnsi="Arial" w:cs="Times New Roman"/>
      <w:color w:val="000000" w:themeColor="text1"/>
      <w:kern w:val="16"/>
      <w:sz w:val="18"/>
      <w:szCs w:val="19"/>
      <w:lang w:val="en-CA" w:eastAsia="ja-JP"/>
    </w:rPr>
  </w:style>
  <w:style w:type="character" w:customStyle="1" w:styleId="PuntoelencoCarattere">
    <w:name w:val="Punto elenco Carattere"/>
    <w:link w:val="Puntoelenco"/>
    <w:uiPriority w:val="99"/>
    <w:semiHidden/>
    <w:rsid w:val="008935E2"/>
    <w:rPr>
      <w:rFonts w:ascii="Arial" w:eastAsia="MS Mincho" w:hAnsi="Arial" w:cs="Times New Roman"/>
      <w:color w:val="000000" w:themeColor="text1"/>
      <w:kern w:val="16"/>
      <w:sz w:val="18"/>
      <w:szCs w:val="19"/>
      <w:lang w:val="en-CA" w:eastAsia="ja-JP"/>
    </w:rPr>
  </w:style>
  <w:style w:type="paragraph" w:styleId="Puntoelenco2">
    <w:name w:val="List Bullet 2"/>
    <w:link w:val="Puntoelenco2Carattere"/>
    <w:autoRedefine/>
    <w:uiPriority w:val="99"/>
    <w:semiHidden/>
    <w:rsid w:val="008935E2"/>
    <w:pPr>
      <w:numPr>
        <w:ilvl w:val="1"/>
        <w:numId w:val="7"/>
      </w:numPr>
      <w:spacing w:before="80" w:after="120" w:line="300" w:lineRule="auto"/>
      <w:ind w:left="567" w:hanging="283"/>
    </w:pPr>
    <w:rPr>
      <w:rFonts w:ascii="Arial" w:eastAsia="MS Mincho" w:hAnsi="Arial" w:cs="Times New Roman"/>
      <w:color w:val="000000" w:themeColor="text1"/>
      <w:kern w:val="16"/>
      <w:sz w:val="18"/>
      <w:szCs w:val="19"/>
      <w:lang w:val="en-CA" w:eastAsia="ja-JP"/>
    </w:rPr>
  </w:style>
  <w:style w:type="character" w:customStyle="1" w:styleId="Puntoelenco2Carattere">
    <w:name w:val="Punto elenco 2 Carattere"/>
    <w:basedOn w:val="PuntoelencoCarattere"/>
    <w:link w:val="Puntoelenco2"/>
    <w:uiPriority w:val="99"/>
    <w:semiHidden/>
    <w:rsid w:val="008935E2"/>
    <w:rPr>
      <w:rFonts w:ascii="Arial" w:eastAsia="MS Mincho" w:hAnsi="Arial" w:cs="Times New Roman"/>
      <w:color w:val="000000" w:themeColor="text1"/>
      <w:kern w:val="16"/>
      <w:sz w:val="18"/>
      <w:szCs w:val="19"/>
      <w:lang w:val="en-CA" w:eastAsia="ja-JP"/>
    </w:rPr>
  </w:style>
  <w:style w:type="paragraph" w:styleId="Puntoelenco3">
    <w:name w:val="List Bullet 3"/>
    <w:autoRedefine/>
    <w:uiPriority w:val="99"/>
    <w:semiHidden/>
    <w:rsid w:val="008935E2"/>
    <w:pPr>
      <w:numPr>
        <w:numId w:val="8"/>
      </w:numPr>
      <w:spacing w:before="80" w:after="120" w:line="300" w:lineRule="auto"/>
      <w:ind w:left="851" w:hanging="284"/>
    </w:pPr>
    <w:rPr>
      <w:rFonts w:ascii="Arial" w:eastAsia="MS Mincho" w:hAnsi="Arial" w:cs="Times New Roman"/>
      <w:color w:val="000000" w:themeColor="text1"/>
      <w:kern w:val="16"/>
      <w:sz w:val="18"/>
      <w:szCs w:val="19"/>
      <w:lang w:val="en-CA" w:eastAsia="ja-JP"/>
    </w:rPr>
  </w:style>
  <w:style w:type="paragraph" w:customStyle="1" w:styleId="TableText">
    <w:name w:val="Table Text"/>
    <w:basedOn w:val="Corpotesto"/>
    <w:link w:val="TableTextCharChar"/>
    <w:uiPriority w:val="14"/>
    <w:qFormat/>
    <w:rsid w:val="00DD3448"/>
    <w:pPr>
      <w:spacing w:after="40" w:line="276" w:lineRule="auto"/>
      <w:mirrorIndents/>
    </w:pPr>
    <w:rPr>
      <w:rFonts w:cstheme="minorBidi"/>
      <w:sz w:val="16"/>
      <w:szCs w:val="22"/>
    </w:rPr>
  </w:style>
  <w:style w:type="character" w:customStyle="1" w:styleId="TableTextCharChar">
    <w:name w:val="Table Text Char Char"/>
    <w:link w:val="TableText"/>
    <w:uiPriority w:val="14"/>
    <w:rsid w:val="00DD3448"/>
    <w:rPr>
      <w:rFonts w:ascii="RBC Text" w:eastAsia="MS Mincho" w:hAnsi="RBC Text"/>
      <w:color w:val="000000" w:themeColor="text1"/>
      <w:kern w:val="16"/>
      <w:sz w:val="16"/>
      <w:lang w:eastAsia="ja-JP"/>
    </w:rPr>
  </w:style>
  <w:style w:type="paragraph" w:customStyle="1" w:styleId="TableHeader">
    <w:name w:val="Table Header"/>
    <w:next w:val="TableText"/>
    <w:link w:val="TableHeaderChar"/>
    <w:autoRedefine/>
    <w:uiPriority w:val="14"/>
    <w:qFormat/>
    <w:rsid w:val="006258B3"/>
    <w:pPr>
      <w:spacing w:before="80" w:after="20" w:line="240" w:lineRule="auto"/>
    </w:pPr>
    <w:rPr>
      <w:rFonts w:ascii="Arial" w:eastAsia="MS Mincho" w:hAnsi="Arial" w:cs="Arial"/>
      <w:b/>
      <w:bCs/>
      <w:color w:val="003168" w:themeColor="text2"/>
      <w:kern w:val="16"/>
      <w:sz w:val="18"/>
      <w:szCs w:val="18"/>
      <w:lang w:eastAsia="ja-JP"/>
    </w:rPr>
  </w:style>
  <w:style w:type="character" w:customStyle="1" w:styleId="TableHeaderChar">
    <w:name w:val="Table Header Char"/>
    <w:basedOn w:val="TableTextCharChar"/>
    <w:link w:val="TableHeader"/>
    <w:uiPriority w:val="14"/>
    <w:rsid w:val="006258B3"/>
    <w:rPr>
      <w:rFonts w:ascii="Arial" w:eastAsia="MS Mincho" w:hAnsi="Arial" w:cs="Arial"/>
      <w:b/>
      <w:bCs/>
      <w:color w:val="003168" w:themeColor="text2"/>
      <w:kern w:val="16"/>
      <w:sz w:val="18"/>
      <w:szCs w:val="18"/>
      <w:lang w:eastAsia="ja-JP"/>
    </w:rPr>
  </w:style>
  <w:style w:type="table" w:styleId="Tabellaelenco2-colore3">
    <w:name w:val="List Table 2 Accent 3"/>
    <w:basedOn w:val="Tabellanormale"/>
    <w:uiPriority w:val="47"/>
    <w:locked/>
    <w:rsid w:val="008570FD"/>
    <w:pPr>
      <w:spacing w:after="0" w:line="240" w:lineRule="auto"/>
    </w:pPr>
    <w:rPr>
      <w:rFonts w:eastAsiaTheme="minorHAnsi"/>
      <w:lang w:val="en-GB" w:eastAsia="en-US"/>
    </w:rPr>
    <w:tblPr>
      <w:tblStyleRowBandSize w:val="1"/>
      <w:tblStyleColBandSize w:val="1"/>
      <w:tblBorders>
        <w:top w:val="single" w:sz="4" w:space="0" w:color="B6CED8" w:themeColor="accent3" w:themeTint="99"/>
        <w:bottom w:val="single" w:sz="4" w:space="0" w:color="B6CED8" w:themeColor="accent3" w:themeTint="99"/>
        <w:insideH w:val="single" w:sz="4" w:space="0" w:color="B6CE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2" w:themeFill="accent3" w:themeFillTint="33"/>
      </w:tcPr>
    </w:tblStylePr>
    <w:tblStylePr w:type="band1Horz">
      <w:tblPr/>
      <w:tcPr>
        <w:shd w:val="clear" w:color="auto" w:fill="E6EEF2" w:themeFill="accent3" w:themeFillTint="33"/>
      </w:tcPr>
    </w:tblStylePr>
  </w:style>
  <w:style w:type="character" w:customStyle="1" w:styleId="DisclaimertextChar">
    <w:name w:val="Disclaimer text Char"/>
    <w:basedOn w:val="Puntoelenco2Carattere"/>
    <w:link w:val="Disclaimertext"/>
    <w:uiPriority w:val="16"/>
    <w:rsid w:val="00FB0120"/>
    <w:rPr>
      <w:rFonts w:ascii="Arial" w:eastAsia="MS Mincho" w:hAnsi="Arial" w:cs="Times New Roman"/>
      <w:color w:val="000000" w:themeColor="text1"/>
      <w:kern w:val="16"/>
      <w:sz w:val="16"/>
      <w:szCs w:val="19"/>
      <w:lang w:val="en-CA" w:eastAsia="ja-JP"/>
    </w:rPr>
  </w:style>
  <w:style w:type="paragraph" w:styleId="Titolosommario">
    <w:name w:val="TOC Heading"/>
    <w:basedOn w:val="Titolo1"/>
    <w:next w:val="Normale"/>
    <w:uiPriority w:val="39"/>
    <w:unhideWhenUsed/>
    <w:qFormat/>
    <w:locked/>
    <w:rsid w:val="00AF6C04"/>
    <w:pPr>
      <w:framePr w:wrap="around"/>
      <w:spacing w:after="240" w:line="320" w:lineRule="exact"/>
      <w:outlineLvl w:val="9"/>
    </w:pPr>
  </w:style>
  <w:style w:type="paragraph" w:customStyle="1" w:styleId="NumberedList3">
    <w:name w:val="Numbered List 3"/>
    <w:basedOn w:val="Elenco3"/>
    <w:autoRedefine/>
    <w:uiPriority w:val="4"/>
    <w:qFormat/>
    <w:rsid w:val="002D3B13"/>
  </w:style>
  <w:style w:type="paragraph" w:customStyle="1" w:styleId="NumberedList4">
    <w:name w:val="Numbered List 4"/>
    <w:basedOn w:val="Elenco4"/>
    <w:autoRedefine/>
    <w:uiPriority w:val="4"/>
    <w:qFormat/>
    <w:rsid w:val="002D3B13"/>
    <w:pPr>
      <w:snapToGrid w:val="0"/>
    </w:pPr>
  </w:style>
  <w:style w:type="paragraph" w:customStyle="1" w:styleId="Bullet1">
    <w:name w:val="Bullet 1"/>
    <w:basedOn w:val="Puntoelenco"/>
    <w:autoRedefine/>
    <w:uiPriority w:val="4"/>
    <w:qFormat/>
    <w:rsid w:val="002D3B13"/>
    <w:rPr>
      <w:sz w:val="20"/>
    </w:rPr>
  </w:style>
  <w:style w:type="character" w:styleId="Collegamentoipertestuale">
    <w:name w:val="Hyperlink"/>
    <w:basedOn w:val="Carpredefinitoparagrafo"/>
    <w:unhideWhenUsed/>
    <w:rsid w:val="00A92D08"/>
    <w:rPr>
      <w:color w:val="87AFBF" w:themeColor="hyperlink"/>
      <w:u w:val="single"/>
    </w:rPr>
  </w:style>
  <w:style w:type="paragraph" w:styleId="Intestazione">
    <w:name w:val="header"/>
    <w:basedOn w:val="Normale"/>
    <w:link w:val="IntestazioneCarattere"/>
    <w:autoRedefine/>
    <w:uiPriority w:val="99"/>
    <w:unhideWhenUsed/>
    <w:locked/>
    <w:rsid w:val="00AF6C04"/>
    <w:pPr>
      <w:tabs>
        <w:tab w:val="center" w:pos="4680"/>
        <w:tab w:val="right" w:pos="9360"/>
      </w:tabs>
    </w:pPr>
  </w:style>
  <w:style w:type="character" w:customStyle="1" w:styleId="IntestazioneCarattere">
    <w:name w:val="Intestazione Carattere"/>
    <w:basedOn w:val="Carpredefinitoparagrafo"/>
    <w:link w:val="Intestazione"/>
    <w:uiPriority w:val="99"/>
    <w:rsid w:val="00AF6C04"/>
    <w:rPr>
      <w:rFonts w:ascii="Arial" w:hAnsi="Arial"/>
      <w:sz w:val="20"/>
      <w:lang w:val="en-GB"/>
    </w:rPr>
  </w:style>
  <w:style w:type="paragraph" w:customStyle="1" w:styleId="Legalentitytext">
    <w:name w:val="Legal entity text"/>
    <w:basedOn w:val="Corpotesto"/>
    <w:link w:val="LegalentitytextChar"/>
    <w:qFormat/>
    <w:rsid w:val="00F4130A"/>
    <w:pPr>
      <w:framePr w:hSpace="180" w:wrap="around" w:vAnchor="text" w:hAnchor="text" w:y="1"/>
    </w:pPr>
  </w:style>
  <w:style w:type="table" w:styleId="Tabellaelenco5scura-colore4">
    <w:name w:val="List Table 5 Dark Accent 4"/>
    <w:basedOn w:val="Tabellanormale"/>
    <w:uiPriority w:val="50"/>
    <w:locked/>
    <w:rsid w:val="00534218"/>
    <w:pPr>
      <w:spacing w:after="0" w:line="240" w:lineRule="auto"/>
    </w:pPr>
    <w:rPr>
      <w:color w:val="FFFFFF" w:themeColor="background1"/>
    </w:rPr>
    <w:tblPr>
      <w:tblStyleRowBandSize w:val="1"/>
      <w:tblStyleColBandSize w:val="1"/>
      <w:tblBorders>
        <w:top w:val="single" w:sz="24" w:space="0" w:color="C1B5A5" w:themeColor="accent4"/>
        <w:left w:val="single" w:sz="24" w:space="0" w:color="C1B5A5" w:themeColor="accent4"/>
        <w:bottom w:val="single" w:sz="24" w:space="0" w:color="C1B5A5" w:themeColor="accent4"/>
        <w:right w:val="single" w:sz="24" w:space="0" w:color="C1B5A5" w:themeColor="accent4"/>
      </w:tblBorders>
    </w:tblPr>
    <w:tcPr>
      <w:shd w:val="clear" w:color="auto" w:fill="C1B5A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LegalentitytextChar">
    <w:name w:val="Legal entity text Char"/>
    <w:basedOn w:val="CorpotestoCarattere"/>
    <w:link w:val="Legalentitytext"/>
    <w:rsid w:val="00F4130A"/>
    <w:rPr>
      <w:rFonts w:ascii="RBC Text" w:eastAsia="MS Mincho" w:hAnsi="RBC Text" w:cs="Times New Roman"/>
      <w:b w:val="0"/>
      <w:bCs w:val="0"/>
      <w:color w:val="000000" w:themeColor="text1"/>
      <w:kern w:val="16"/>
      <w:sz w:val="18"/>
      <w:szCs w:val="20"/>
      <w:lang w:val="en-GB" w:eastAsia="ja-JP"/>
    </w:rPr>
  </w:style>
  <w:style w:type="table" w:styleId="Tabellaelenco3-colore3">
    <w:name w:val="List Table 3 Accent 3"/>
    <w:basedOn w:val="Tabellanormale"/>
    <w:uiPriority w:val="48"/>
    <w:locked/>
    <w:rsid w:val="00534218"/>
    <w:pPr>
      <w:spacing w:after="0" w:line="240" w:lineRule="auto"/>
    </w:pPr>
    <w:tblPr>
      <w:tblStyleRowBandSize w:val="1"/>
      <w:tblStyleColBandSize w:val="1"/>
      <w:tblBorders>
        <w:top w:val="single" w:sz="4" w:space="0" w:color="87AFBF" w:themeColor="accent3"/>
        <w:left w:val="single" w:sz="4" w:space="0" w:color="87AFBF" w:themeColor="accent3"/>
        <w:bottom w:val="single" w:sz="4" w:space="0" w:color="87AFBF" w:themeColor="accent3"/>
        <w:right w:val="single" w:sz="4" w:space="0" w:color="87AFBF" w:themeColor="accent3"/>
      </w:tblBorders>
    </w:tblPr>
    <w:tblStylePr w:type="firstRow">
      <w:rPr>
        <w:b/>
        <w:bCs/>
        <w:color w:val="FFFFFF" w:themeColor="background1"/>
      </w:rPr>
      <w:tblPr/>
      <w:tcPr>
        <w:shd w:val="clear" w:color="auto" w:fill="87AFBF" w:themeFill="accent3"/>
      </w:tcPr>
    </w:tblStylePr>
    <w:tblStylePr w:type="lastRow">
      <w:rPr>
        <w:b/>
        <w:bCs/>
      </w:rPr>
      <w:tblPr/>
      <w:tcPr>
        <w:tcBorders>
          <w:top w:val="double" w:sz="4" w:space="0" w:color="87AFB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AFBF" w:themeColor="accent3"/>
          <w:right w:val="single" w:sz="4" w:space="0" w:color="87AFBF" w:themeColor="accent3"/>
        </w:tcBorders>
      </w:tcPr>
    </w:tblStylePr>
    <w:tblStylePr w:type="band1Horz">
      <w:tblPr/>
      <w:tcPr>
        <w:tcBorders>
          <w:top w:val="single" w:sz="4" w:space="0" w:color="87AFBF" w:themeColor="accent3"/>
          <w:bottom w:val="single" w:sz="4" w:space="0" w:color="87AFB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AFBF" w:themeColor="accent3"/>
          <w:left w:val="nil"/>
        </w:tcBorders>
      </w:tcPr>
    </w:tblStylePr>
    <w:tblStylePr w:type="swCell">
      <w:tblPr/>
      <w:tcPr>
        <w:tcBorders>
          <w:top w:val="double" w:sz="4" w:space="0" w:color="87AFBF" w:themeColor="accent3"/>
          <w:right w:val="nil"/>
        </w:tcBorders>
      </w:tcPr>
    </w:tblStylePr>
  </w:style>
  <w:style w:type="table" w:styleId="Tabellaelenco1chiara-colore3">
    <w:name w:val="List Table 1 Light Accent 3"/>
    <w:basedOn w:val="Tabellanormale"/>
    <w:uiPriority w:val="46"/>
    <w:locked/>
    <w:rsid w:val="00534218"/>
    <w:pPr>
      <w:spacing w:after="0" w:line="240" w:lineRule="auto"/>
    </w:pPr>
    <w:tblPr>
      <w:tblStyleRowBandSize w:val="1"/>
      <w:tblStyleColBandSize w:val="1"/>
    </w:tblPr>
    <w:tblStylePr w:type="firstRow">
      <w:rPr>
        <w:b/>
        <w:bCs/>
      </w:rPr>
      <w:tblPr/>
      <w:tcPr>
        <w:tcBorders>
          <w:bottom w:val="single" w:sz="4" w:space="0" w:color="B6CED8" w:themeColor="accent3" w:themeTint="99"/>
        </w:tcBorders>
      </w:tcPr>
    </w:tblStylePr>
    <w:tblStylePr w:type="lastRow">
      <w:rPr>
        <w:b/>
        <w:bCs/>
      </w:rPr>
      <w:tblPr/>
      <w:tcPr>
        <w:tcBorders>
          <w:top w:val="single" w:sz="4" w:space="0" w:color="B6CED8" w:themeColor="accent3" w:themeTint="99"/>
        </w:tcBorders>
      </w:tcPr>
    </w:tblStylePr>
    <w:tblStylePr w:type="firstCol">
      <w:rPr>
        <w:b/>
        <w:bCs/>
      </w:rPr>
    </w:tblStylePr>
    <w:tblStylePr w:type="lastCol">
      <w:rPr>
        <w:b/>
        <w:bCs/>
      </w:rPr>
    </w:tblStylePr>
    <w:tblStylePr w:type="band1Vert">
      <w:tblPr/>
      <w:tcPr>
        <w:shd w:val="clear" w:color="auto" w:fill="E6EEF2" w:themeFill="accent3" w:themeFillTint="33"/>
      </w:tcPr>
    </w:tblStylePr>
    <w:tblStylePr w:type="band1Horz">
      <w:tblPr/>
      <w:tcPr>
        <w:shd w:val="clear" w:color="auto" w:fill="E6EEF2" w:themeFill="accent3" w:themeFillTint="33"/>
      </w:tcPr>
    </w:tblStylePr>
  </w:style>
  <w:style w:type="table" w:styleId="Tabellaelenco4-colore4">
    <w:name w:val="List Table 4 Accent 4"/>
    <w:basedOn w:val="Tabellanormale"/>
    <w:uiPriority w:val="49"/>
    <w:locked/>
    <w:rsid w:val="00534218"/>
    <w:pPr>
      <w:spacing w:after="0" w:line="240" w:lineRule="auto"/>
    </w:pPr>
    <w:tblPr>
      <w:tblStyleRowBandSize w:val="1"/>
      <w:tblStyleColBandSize w:val="1"/>
      <w:tblBorders>
        <w:top w:val="single" w:sz="4" w:space="0" w:color="D9D2C8" w:themeColor="accent4" w:themeTint="99"/>
        <w:left w:val="single" w:sz="4" w:space="0" w:color="D9D2C8" w:themeColor="accent4" w:themeTint="99"/>
        <w:bottom w:val="single" w:sz="4" w:space="0" w:color="D9D2C8" w:themeColor="accent4" w:themeTint="99"/>
        <w:right w:val="single" w:sz="4" w:space="0" w:color="D9D2C8" w:themeColor="accent4" w:themeTint="99"/>
        <w:insideH w:val="single" w:sz="4" w:space="0" w:color="D9D2C8" w:themeColor="accent4" w:themeTint="99"/>
      </w:tblBorders>
    </w:tblPr>
    <w:tblStylePr w:type="firstRow">
      <w:rPr>
        <w:b/>
        <w:bCs/>
        <w:color w:val="FFFFFF" w:themeColor="background1"/>
      </w:rPr>
      <w:tblPr/>
      <w:tcPr>
        <w:tcBorders>
          <w:top w:val="single" w:sz="4" w:space="0" w:color="C1B5A5" w:themeColor="accent4"/>
          <w:left w:val="single" w:sz="4" w:space="0" w:color="C1B5A5" w:themeColor="accent4"/>
          <w:bottom w:val="single" w:sz="4" w:space="0" w:color="C1B5A5" w:themeColor="accent4"/>
          <w:right w:val="single" w:sz="4" w:space="0" w:color="C1B5A5" w:themeColor="accent4"/>
          <w:insideH w:val="nil"/>
        </w:tcBorders>
        <w:shd w:val="clear" w:color="auto" w:fill="C1B5A5" w:themeFill="accent4"/>
      </w:tcPr>
    </w:tblStylePr>
    <w:tblStylePr w:type="lastRow">
      <w:rPr>
        <w:b/>
        <w:bCs/>
      </w:rPr>
      <w:tblPr/>
      <w:tcPr>
        <w:tcBorders>
          <w:top w:val="double" w:sz="4" w:space="0" w:color="D9D2C8" w:themeColor="accent4" w:themeTint="99"/>
        </w:tcBorders>
      </w:tcPr>
    </w:tblStylePr>
    <w:tblStylePr w:type="firstCol">
      <w:rPr>
        <w:b/>
        <w:bCs/>
      </w:rPr>
    </w:tblStylePr>
    <w:tblStylePr w:type="lastCol">
      <w:rPr>
        <w:b/>
        <w:bCs/>
      </w:rPr>
    </w:tblStylePr>
    <w:tblStylePr w:type="band1Vert">
      <w:tblPr/>
      <w:tcPr>
        <w:shd w:val="clear" w:color="auto" w:fill="F2F0EC" w:themeFill="accent4" w:themeFillTint="33"/>
      </w:tcPr>
    </w:tblStylePr>
    <w:tblStylePr w:type="band1Horz">
      <w:tblPr/>
      <w:tcPr>
        <w:shd w:val="clear" w:color="auto" w:fill="F2F0EC" w:themeFill="accent4" w:themeFillTint="33"/>
      </w:tcPr>
    </w:tblStylePr>
  </w:style>
  <w:style w:type="table" w:styleId="Tabellaelenco5scura-colore3">
    <w:name w:val="List Table 5 Dark Accent 3"/>
    <w:basedOn w:val="Tabellanormale"/>
    <w:uiPriority w:val="50"/>
    <w:locked/>
    <w:rsid w:val="00534218"/>
    <w:pPr>
      <w:spacing w:after="0" w:line="240" w:lineRule="auto"/>
    </w:pPr>
    <w:rPr>
      <w:color w:val="FFFFFF" w:themeColor="background1"/>
    </w:rPr>
    <w:tblPr>
      <w:tblStyleRowBandSize w:val="1"/>
      <w:tblStyleColBandSize w:val="1"/>
      <w:tblBorders>
        <w:top w:val="single" w:sz="24" w:space="0" w:color="87AFBF" w:themeColor="accent3"/>
        <w:left w:val="single" w:sz="24" w:space="0" w:color="87AFBF" w:themeColor="accent3"/>
        <w:bottom w:val="single" w:sz="24" w:space="0" w:color="87AFBF" w:themeColor="accent3"/>
        <w:right w:val="single" w:sz="24" w:space="0" w:color="87AFBF" w:themeColor="accent3"/>
      </w:tblBorders>
    </w:tblPr>
    <w:tcPr>
      <w:shd w:val="clear" w:color="auto" w:fill="87AFB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colore4">
    <w:name w:val="List Table 6 Colorful Accent 4"/>
    <w:basedOn w:val="Tabellanormale"/>
    <w:uiPriority w:val="51"/>
    <w:locked/>
    <w:rsid w:val="00534218"/>
    <w:pPr>
      <w:spacing w:after="0" w:line="240" w:lineRule="auto"/>
    </w:pPr>
    <w:rPr>
      <w:color w:val="9C896F" w:themeColor="accent4" w:themeShade="BF"/>
    </w:rPr>
    <w:tblPr>
      <w:tblStyleRowBandSize w:val="1"/>
      <w:tblStyleColBandSize w:val="1"/>
      <w:tblBorders>
        <w:top w:val="single" w:sz="4" w:space="0" w:color="C1B5A5" w:themeColor="accent4"/>
        <w:bottom w:val="single" w:sz="4" w:space="0" w:color="C1B5A5" w:themeColor="accent4"/>
      </w:tblBorders>
    </w:tblPr>
    <w:tblStylePr w:type="firstRow">
      <w:rPr>
        <w:b/>
        <w:bCs/>
      </w:rPr>
      <w:tblPr/>
      <w:tcPr>
        <w:tcBorders>
          <w:bottom w:val="single" w:sz="4" w:space="0" w:color="C1B5A5" w:themeColor="accent4"/>
        </w:tcBorders>
      </w:tcPr>
    </w:tblStylePr>
    <w:tblStylePr w:type="lastRow">
      <w:rPr>
        <w:b/>
        <w:bCs/>
      </w:rPr>
      <w:tblPr/>
      <w:tcPr>
        <w:tcBorders>
          <w:top w:val="double" w:sz="4" w:space="0" w:color="C1B5A5" w:themeColor="accent4"/>
        </w:tcBorders>
      </w:tcPr>
    </w:tblStylePr>
    <w:tblStylePr w:type="firstCol">
      <w:rPr>
        <w:b/>
        <w:bCs/>
      </w:rPr>
    </w:tblStylePr>
    <w:tblStylePr w:type="lastCol">
      <w:rPr>
        <w:b/>
        <w:bCs/>
      </w:rPr>
    </w:tblStylePr>
    <w:tblStylePr w:type="band1Vert">
      <w:tblPr/>
      <w:tcPr>
        <w:shd w:val="clear" w:color="auto" w:fill="F2F0EC" w:themeFill="accent4" w:themeFillTint="33"/>
      </w:tcPr>
    </w:tblStylePr>
    <w:tblStylePr w:type="band1Horz">
      <w:tblPr/>
      <w:tcPr>
        <w:shd w:val="clear" w:color="auto" w:fill="F2F0EC" w:themeFill="accent4" w:themeFillTint="33"/>
      </w:tcPr>
    </w:tblStylePr>
  </w:style>
  <w:style w:type="table" w:styleId="Tabellaelenco7acolori-colore3">
    <w:name w:val="List Table 7 Colorful Accent 3"/>
    <w:basedOn w:val="Tabellanormale"/>
    <w:uiPriority w:val="52"/>
    <w:locked/>
    <w:rsid w:val="00534218"/>
    <w:pPr>
      <w:spacing w:after="0" w:line="240" w:lineRule="auto"/>
    </w:pPr>
    <w:rPr>
      <w:color w:val="5589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AFB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AFB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AFB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AFBF" w:themeColor="accent3"/>
        </w:tcBorders>
        <w:shd w:val="clear" w:color="auto" w:fill="FFFFFF" w:themeFill="background1"/>
      </w:tcPr>
    </w:tblStylePr>
    <w:tblStylePr w:type="band1Vert">
      <w:tblPr/>
      <w:tcPr>
        <w:shd w:val="clear" w:color="auto" w:fill="E6EEF2" w:themeFill="accent3" w:themeFillTint="33"/>
      </w:tcPr>
    </w:tblStylePr>
    <w:tblStylePr w:type="band1Horz">
      <w:tblPr/>
      <w:tcPr>
        <w:shd w:val="clear" w:color="auto" w:fill="E6EE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1chiara-colore4">
    <w:name w:val="List Table 1 Light Accent 4"/>
    <w:basedOn w:val="Tabellanormale"/>
    <w:uiPriority w:val="46"/>
    <w:locked/>
    <w:rsid w:val="00534218"/>
    <w:pPr>
      <w:spacing w:after="0" w:line="240" w:lineRule="auto"/>
    </w:pPr>
    <w:tblPr>
      <w:tblStyleRowBandSize w:val="1"/>
      <w:tblStyleColBandSize w:val="1"/>
    </w:tblPr>
    <w:tblStylePr w:type="firstRow">
      <w:rPr>
        <w:b/>
        <w:bCs/>
      </w:rPr>
      <w:tblPr/>
      <w:tcPr>
        <w:tcBorders>
          <w:bottom w:val="single" w:sz="4" w:space="0" w:color="D9D2C8" w:themeColor="accent4" w:themeTint="99"/>
        </w:tcBorders>
      </w:tcPr>
    </w:tblStylePr>
    <w:tblStylePr w:type="lastRow">
      <w:rPr>
        <w:b/>
        <w:bCs/>
      </w:rPr>
      <w:tblPr/>
      <w:tcPr>
        <w:tcBorders>
          <w:top w:val="single" w:sz="4" w:space="0" w:color="D9D2C8" w:themeColor="accent4" w:themeTint="99"/>
        </w:tcBorders>
      </w:tcPr>
    </w:tblStylePr>
    <w:tblStylePr w:type="firstCol">
      <w:rPr>
        <w:b/>
        <w:bCs/>
      </w:rPr>
    </w:tblStylePr>
    <w:tblStylePr w:type="lastCol">
      <w:rPr>
        <w:b/>
        <w:bCs/>
      </w:rPr>
    </w:tblStylePr>
    <w:tblStylePr w:type="band1Vert">
      <w:tblPr/>
      <w:tcPr>
        <w:shd w:val="clear" w:color="auto" w:fill="F2F0EC" w:themeFill="accent4" w:themeFillTint="33"/>
      </w:tcPr>
    </w:tblStylePr>
    <w:tblStylePr w:type="band1Horz">
      <w:tblPr/>
      <w:tcPr>
        <w:shd w:val="clear" w:color="auto" w:fill="F2F0EC" w:themeFill="accent4" w:themeFillTint="33"/>
      </w:tcPr>
    </w:tblStylePr>
  </w:style>
  <w:style w:type="table" w:styleId="Tabellaelenco2-colore4">
    <w:name w:val="List Table 2 Accent 4"/>
    <w:basedOn w:val="Tabellanormale"/>
    <w:uiPriority w:val="47"/>
    <w:locked/>
    <w:rsid w:val="00534218"/>
    <w:pPr>
      <w:spacing w:after="0" w:line="240" w:lineRule="auto"/>
    </w:pPr>
    <w:tblPr>
      <w:tblStyleRowBandSize w:val="1"/>
      <w:tblStyleColBandSize w:val="1"/>
      <w:tblBorders>
        <w:top w:val="single" w:sz="4" w:space="0" w:color="D9D2C8" w:themeColor="accent4" w:themeTint="99"/>
        <w:bottom w:val="single" w:sz="4" w:space="0" w:color="D9D2C8" w:themeColor="accent4" w:themeTint="99"/>
        <w:insideH w:val="single" w:sz="4" w:space="0" w:color="D9D2C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0EC" w:themeFill="accent4" w:themeFillTint="33"/>
      </w:tcPr>
    </w:tblStylePr>
    <w:tblStylePr w:type="band1Horz">
      <w:tblPr/>
      <w:tcPr>
        <w:shd w:val="clear" w:color="auto" w:fill="F2F0EC" w:themeFill="accent4" w:themeFillTint="33"/>
      </w:tcPr>
    </w:tblStylePr>
  </w:style>
  <w:style w:type="table" w:styleId="Tabellagriglia7acolori-colore3">
    <w:name w:val="Grid Table 7 Colorful Accent 3"/>
    <w:basedOn w:val="Tabellanormale"/>
    <w:uiPriority w:val="52"/>
    <w:locked/>
    <w:rsid w:val="00534218"/>
    <w:pPr>
      <w:spacing w:after="0" w:line="240" w:lineRule="auto"/>
    </w:pPr>
    <w:rPr>
      <w:color w:val="55899F" w:themeColor="accent3" w:themeShade="BF"/>
    </w:rPr>
    <w:tblPr>
      <w:tblStyleRowBandSize w:val="1"/>
      <w:tblStyleColBandSize w:val="1"/>
      <w:tblBorders>
        <w:top w:val="single" w:sz="4" w:space="0" w:color="B6CED8" w:themeColor="accent3" w:themeTint="99"/>
        <w:left w:val="single" w:sz="4" w:space="0" w:color="B6CED8" w:themeColor="accent3" w:themeTint="99"/>
        <w:bottom w:val="single" w:sz="4" w:space="0" w:color="B6CED8" w:themeColor="accent3" w:themeTint="99"/>
        <w:right w:val="single" w:sz="4" w:space="0" w:color="B6CED8" w:themeColor="accent3" w:themeTint="99"/>
        <w:insideH w:val="single" w:sz="4" w:space="0" w:color="B6CED8" w:themeColor="accent3" w:themeTint="99"/>
        <w:insideV w:val="single" w:sz="4" w:space="0" w:color="B6CE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2" w:themeFill="accent3" w:themeFillTint="33"/>
      </w:tcPr>
    </w:tblStylePr>
    <w:tblStylePr w:type="band1Horz">
      <w:tblPr/>
      <w:tcPr>
        <w:shd w:val="clear" w:color="auto" w:fill="E6EEF2" w:themeFill="accent3" w:themeFillTint="33"/>
      </w:tcPr>
    </w:tblStylePr>
    <w:tblStylePr w:type="neCell">
      <w:tblPr/>
      <w:tcPr>
        <w:tcBorders>
          <w:bottom w:val="single" w:sz="4" w:space="0" w:color="B6CED8" w:themeColor="accent3" w:themeTint="99"/>
        </w:tcBorders>
      </w:tcPr>
    </w:tblStylePr>
    <w:tblStylePr w:type="nwCell">
      <w:tblPr/>
      <w:tcPr>
        <w:tcBorders>
          <w:bottom w:val="single" w:sz="4" w:space="0" w:color="B6CED8" w:themeColor="accent3" w:themeTint="99"/>
        </w:tcBorders>
      </w:tcPr>
    </w:tblStylePr>
    <w:tblStylePr w:type="seCell">
      <w:tblPr/>
      <w:tcPr>
        <w:tcBorders>
          <w:top w:val="single" w:sz="4" w:space="0" w:color="B6CED8" w:themeColor="accent3" w:themeTint="99"/>
        </w:tcBorders>
      </w:tcPr>
    </w:tblStylePr>
    <w:tblStylePr w:type="swCell">
      <w:tblPr/>
      <w:tcPr>
        <w:tcBorders>
          <w:top w:val="single" w:sz="4" w:space="0" w:color="B6CED8" w:themeColor="accent3" w:themeTint="99"/>
        </w:tcBorders>
      </w:tcPr>
    </w:tblStylePr>
  </w:style>
  <w:style w:type="table" w:styleId="Tabellagriglia2-colore3">
    <w:name w:val="Grid Table 2 Accent 3"/>
    <w:basedOn w:val="Tabellanormale"/>
    <w:uiPriority w:val="47"/>
    <w:locked/>
    <w:rsid w:val="00534218"/>
    <w:pPr>
      <w:spacing w:after="0" w:line="240" w:lineRule="auto"/>
    </w:pPr>
    <w:tblPr>
      <w:tblStyleRowBandSize w:val="1"/>
      <w:tblStyleColBandSize w:val="1"/>
      <w:tblBorders>
        <w:top w:val="single" w:sz="2" w:space="0" w:color="B6CED8" w:themeColor="accent3" w:themeTint="99"/>
        <w:bottom w:val="single" w:sz="2" w:space="0" w:color="B6CED8" w:themeColor="accent3" w:themeTint="99"/>
        <w:insideH w:val="single" w:sz="2" w:space="0" w:color="B6CED8" w:themeColor="accent3" w:themeTint="99"/>
        <w:insideV w:val="single" w:sz="2" w:space="0" w:color="B6CED8" w:themeColor="accent3" w:themeTint="99"/>
      </w:tblBorders>
    </w:tblPr>
    <w:tblStylePr w:type="firstRow">
      <w:rPr>
        <w:b/>
        <w:bCs/>
      </w:rPr>
      <w:tblPr/>
      <w:tcPr>
        <w:tcBorders>
          <w:top w:val="nil"/>
          <w:bottom w:val="single" w:sz="12" w:space="0" w:color="B6CED8" w:themeColor="accent3" w:themeTint="99"/>
          <w:insideH w:val="nil"/>
          <w:insideV w:val="nil"/>
        </w:tcBorders>
        <w:shd w:val="clear" w:color="auto" w:fill="FFFFFF" w:themeFill="background1"/>
      </w:tcPr>
    </w:tblStylePr>
    <w:tblStylePr w:type="lastRow">
      <w:rPr>
        <w:b/>
        <w:bCs/>
      </w:rPr>
      <w:tblPr/>
      <w:tcPr>
        <w:tcBorders>
          <w:top w:val="double" w:sz="2" w:space="0" w:color="B6CE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2" w:themeFill="accent3" w:themeFillTint="33"/>
      </w:tcPr>
    </w:tblStylePr>
    <w:tblStylePr w:type="band1Horz">
      <w:tblPr/>
      <w:tcPr>
        <w:shd w:val="clear" w:color="auto" w:fill="E6EEF2" w:themeFill="accent3" w:themeFillTint="33"/>
      </w:tcPr>
    </w:tblStylePr>
  </w:style>
  <w:style w:type="table" w:styleId="Tabellaelenco6acolori-colore3">
    <w:name w:val="List Table 6 Colorful Accent 3"/>
    <w:basedOn w:val="Tabellanormale"/>
    <w:uiPriority w:val="51"/>
    <w:locked/>
    <w:rsid w:val="00534218"/>
    <w:pPr>
      <w:spacing w:after="0" w:line="240" w:lineRule="auto"/>
    </w:pPr>
    <w:rPr>
      <w:color w:val="55899F" w:themeColor="accent3" w:themeShade="BF"/>
    </w:rPr>
    <w:tblPr>
      <w:tblStyleRowBandSize w:val="1"/>
      <w:tblStyleColBandSize w:val="1"/>
      <w:tblBorders>
        <w:top w:val="single" w:sz="4" w:space="0" w:color="87AFBF" w:themeColor="accent3"/>
        <w:bottom w:val="single" w:sz="4" w:space="0" w:color="87AFBF" w:themeColor="accent3"/>
      </w:tblBorders>
    </w:tblPr>
    <w:tblStylePr w:type="firstRow">
      <w:rPr>
        <w:b/>
        <w:bCs/>
      </w:rPr>
      <w:tblPr/>
      <w:tcPr>
        <w:tcBorders>
          <w:bottom w:val="single" w:sz="4" w:space="0" w:color="87AFBF" w:themeColor="accent3"/>
        </w:tcBorders>
      </w:tcPr>
    </w:tblStylePr>
    <w:tblStylePr w:type="lastRow">
      <w:rPr>
        <w:b/>
        <w:bCs/>
      </w:rPr>
      <w:tblPr/>
      <w:tcPr>
        <w:tcBorders>
          <w:top w:val="double" w:sz="4" w:space="0" w:color="87AFBF" w:themeColor="accent3"/>
        </w:tcBorders>
      </w:tcPr>
    </w:tblStylePr>
    <w:tblStylePr w:type="firstCol">
      <w:rPr>
        <w:b/>
        <w:bCs/>
      </w:rPr>
    </w:tblStylePr>
    <w:tblStylePr w:type="lastCol">
      <w:rPr>
        <w:b/>
        <w:bCs/>
      </w:rPr>
    </w:tblStylePr>
    <w:tblStylePr w:type="band1Vert">
      <w:tblPr/>
      <w:tcPr>
        <w:shd w:val="clear" w:color="auto" w:fill="E6EEF2" w:themeFill="accent3" w:themeFillTint="33"/>
      </w:tcPr>
    </w:tblStylePr>
    <w:tblStylePr w:type="band1Horz">
      <w:tblPr/>
      <w:tcPr>
        <w:shd w:val="clear" w:color="auto" w:fill="E6EEF2" w:themeFill="accent3" w:themeFillTint="33"/>
      </w:tcPr>
    </w:tblStylePr>
  </w:style>
  <w:style w:type="table" w:styleId="Tabellaelenco1chiara-colore6">
    <w:name w:val="List Table 1 Light Accent 6"/>
    <w:basedOn w:val="Tabellanormale"/>
    <w:uiPriority w:val="46"/>
    <w:locked/>
    <w:rsid w:val="000E2CC8"/>
    <w:pPr>
      <w:spacing w:after="0" w:line="240" w:lineRule="auto"/>
    </w:pPr>
    <w:tblPr>
      <w:tblStyleRowBandSize w:val="1"/>
      <w:tblStyleColBandSize w:val="1"/>
    </w:tblPr>
    <w:tblStylePr w:type="firstRow">
      <w:rPr>
        <w:b/>
        <w:bCs/>
      </w:rPr>
      <w:tblPr/>
      <w:tcPr>
        <w:tcBorders>
          <w:bottom w:val="single" w:sz="4" w:space="0" w:color="D4CBA9" w:themeColor="accent6" w:themeTint="99"/>
        </w:tcBorders>
      </w:tcPr>
    </w:tblStylePr>
    <w:tblStylePr w:type="lastRow">
      <w:rPr>
        <w:b/>
        <w:bCs/>
      </w:rPr>
      <w:tblPr/>
      <w:tcPr>
        <w:tcBorders>
          <w:top w:val="single" w:sz="4" w:space="0" w:color="D4CBA9" w:themeColor="accent6" w:themeTint="99"/>
        </w:tcBorders>
      </w:tcPr>
    </w:tblStylePr>
    <w:tblStylePr w:type="firstCol">
      <w:rPr>
        <w:b/>
        <w:bCs/>
      </w:rPr>
    </w:tblStylePr>
    <w:tblStylePr w:type="lastCol">
      <w:rPr>
        <w:b/>
        <w:bCs/>
      </w:rPr>
    </w:tblStylePr>
    <w:tblStylePr w:type="band1Vert">
      <w:tblPr/>
      <w:tcPr>
        <w:shd w:val="clear" w:color="auto" w:fill="F0EDE2" w:themeFill="accent6" w:themeFillTint="33"/>
      </w:tcPr>
    </w:tblStylePr>
    <w:tblStylePr w:type="band1Horz">
      <w:tblPr/>
      <w:tcPr>
        <w:shd w:val="clear" w:color="auto" w:fill="F0EDE2" w:themeFill="accent6" w:themeFillTint="33"/>
      </w:tcPr>
    </w:tblStylePr>
  </w:style>
  <w:style w:type="table" w:styleId="Tabellagriglia2-colore4">
    <w:name w:val="Grid Table 2 Accent 4"/>
    <w:basedOn w:val="Tabellanormale"/>
    <w:uiPriority w:val="47"/>
    <w:locked/>
    <w:rsid w:val="000E2CC8"/>
    <w:pPr>
      <w:spacing w:after="0" w:line="240" w:lineRule="auto"/>
    </w:pPr>
    <w:tblPr>
      <w:tblStyleRowBandSize w:val="1"/>
      <w:tblStyleColBandSize w:val="1"/>
      <w:tblBorders>
        <w:top w:val="single" w:sz="2" w:space="0" w:color="D9D2C8" w:themeColor="accent4" w:themeTint="99"/>
        <w:bottom w:val="single" w:sz="2" w:space="0" w:color="D9D2C8" w:themeColor="accent4" w:themeTint="99"/>
        <w:insideH w:val="single" w:sz="2" w:space="0" w:color="D9D2C8" w:themeColor="accent4" w:themeTint="99"/>
        <w:insideV w:val="single" w:sz="2" w:space="0" w:color="D9D2C8" w:themeColor="accent4" w:themeTint="99"/>
      </w:tblBorders>
    </w:tblPr>
    <w:tblStylePr w:type="firstRow">
      <w:rPr>
        <w:b/>
        <w:bCs/>
      </w:rPr>
      <w:tblPr/>
      <w:tcPr>
        <w:tcBorders>
          <w:top w:val="nil"/>
          <w:bottom w:val="single" w:sz="12" w:space="0" w:color="D9D2C8" w:themeColor="accent4" w:themeTint="99"/>
          <w:insideH w:val="nil"/>
          <w:insideV w:val="nil"/>
        </w:tcBorders>
        <w:shd w:val="clear" w:color="auto" w:fill="FFFFFF" w:themeFill="background1"/>
      </w:tcPr>
    </w:tblStylePr>
    <w:tblStylePr w:type="lastRow">
      <w:rPr>
        <w:b/>
        <w:bCs/>
      </w:rPr>
      <w:tblPr/>
      <w:tcPr>
        <w:tcBorders>
          <w:top w:val="double" w:sz="2" w:space="0" w:color="D9D2C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0EC" w:themeFill="accent4" w:themeFillTint="33"/>
      </w:tcPr>
    </w:tblStylePr>
    <w:tblStylePr w:type="band1Horz">
      <w:tblPr/>
      <w:tcPr>
        <w:shd w:val="clear" w:color="auto" w:fill="F2F0EC" w:themeFill="accent4" w:themeFillTint="33"/>
      </w:tcPr>
    </w:tblStylePr>
  </w:style>
  <w:style w:type="paragraph" w:styleId="Paragrafoelenco">
    <w:name w:val="List Paragraph"/>
    <w:basedOn w:val="Corpotesto"/>
    <w:autoRedefine/>
    <w:uiPriority w:val="34"/>
    <w:qFormat/>
    <w:locked/>
    <w:rsid w:val="00EB3986"/>
    <w:pPr>
      <w:numPr>
        <w:numId w:val="32"/>
      </w:numPr>
      <w:contextualSpacing/>
    </w:pPr>
    <w:rPr>
      <w:b/>
      <w:bCs/>
    </w:rPr>
  </w:style>
  <w:style w:type="table" w:styleId="Grigliatabella">
    <w:name w:val="Table Grid"/>
    <w:basedOn w:val="Tabellanormale"/>
    <w:uiPriority w:val="39"/>
    <w:rsid w:val="00800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3">
    <w:name w:val="Grid Table 1 Light Accent 3"/>
    <w:basedOn w:val="Tabellanormale"/>
    <w:uiPriority w:val="46"/>
    <w:locked/>
    <w:rsid w:val="001557C3"/>
    <w:pPr>
      <w:spacing w:after="0" w:line="240" w:lineRule="auto"/>
    </w:pPr>
    <w:tblPr>
      <w:tblStyleRowBandSize w:val="1"/>
      <w:tblStyleColBandSize w:val="1"/>
      <w:tblBorders>
        <w:top w:val="single" w:sz="4" w:space="0" w:color="CEDFE5" w:themeColor="accent3" w:themeTint="66"/>
        <w:left w:val="single" w:sz="4" w:space="0" w:color="CEDFE5" w:themeColor="accent3" w:themeTint="66"/>
        <w:bottom w:val="single" w:sz="4" w:space="0" w:color="CEDFE5" w:themeColor="accent3" w:themeTint="66"/>
        <w:right w:val="single" w:sz="4" w:space="0" w:color="CEDFE5" w:themeColor="accent3" w:themeTint="66"/>
        <w:insideH w:val="single" w:sz="4" w:space="0" w:color="CEDFE5" w:themeColor="accent3" w:themeTint="66"/>
        <w:insideV w:val="single" w:sz="4" w:space="0" w:color="CEDFE5" w:themeColor="accent3" w:themeTint="66"/>
      </w:tblBorders>
    </w:tblPr>
    <w:tblStylePr w:type="firstRow">
      <w:rPr>
        <w:b/>
        <w:bCs/>
      </w:rPr>
      <w:tblPr/>
      <w:tcPr>
        <w:tcBorders>
          <w:bottom w:val="single" w:sz="12" w:space="0" w:color="B6CED8" w:themeColor="accent3" w:themeTint="99"/>
        </w:tcBorders>
      </w:tcPr>
    </w:tblStylePr>
    <w:tblStylePr w:type="lastRow">
      <w:rPr>
        <w:b/>
        <w:bCs/>
      </w:rPr>
      <w:tblPr/>
      <w:tcPr>
        <w:tcBorders>
          <w:top w:val="double" w:sz="2" w:space="0" w:color="B6CED8" w:themeColor="accent3" w:themeTint="99"/>
        </w:tcBorders>
      </w:tcPr>
    </w:tblStylePr>
    <w:tblStylePr w:type="firstCol">
      <w:rPr>
        <w:b/>
        <w:bCs/>
      </w:rPr>
    </w:tblStylePr>
    <w:tblStylePr w:type="lastCol">
      <w:rPr>
        <w:b/>
        <w:bCs/>
      </w:rPr>
    </w:tblStylePr>
  </w:style>
  <w:style w:type="table" w:customStyle="1" w:styleId="RBCcentered">
    <w:name w:val="RBC centered"/>
    <w:basedOn w:val="Tabellanormale"/>
    <w:uiPriority w:val="99"/>
    <w:locked/>
    <w:rsid w:val="00E4623A"/>
    <w:pPr>
      <w:spacing w:after="0" w:line="240" w:lineRule="auto"/>
      <w:jc w:val="center"/>
    </w:pPr>
    <w:rPr>
      <w:rFonts w:ascii="RBC Text" w:hAnsi="RBC Text"/>
      <w:color w:val="000000" w:themeColor="text1"/>
      <w:sz w:val="18"/>
    </w:rPr>
    <w:tblPr>
      <w:tblStyleRowBandSize w:val="1"/>
      <w:tblStyleColBandSize w:val="1"/>
      <w:tblBorders>
        <w:top w:val="single" w:sz="4" w:space="0" w:color="B6CED8" w:themeColor="accent3" w:themeTint="99"/>
        <w:left w:val="single" w:sz="4" w:space="0" w:color="B6CED8" w:themeColor="accent3" w:themeTint="99"/>
        <w:bottom w:val="single" w:sz="4" w:space="0" w:color="B6CED8" w:themeColor="accent3" w:themeTint="99"/>
        <w:right w:val="single" w:sz="4" w:space="0" w:color="B6CED8" w:themeColor="accent3" w:themeTint="99"/>
        <w:insideH w:val="single" w:sz="4" w:space="0" w:color="B6CED8" w:themeColor="accent3" w:themeTint="99"/>
        <w:insideV w:val="single" w:sz="4" w:space="0" w:color="B6CED8" w:themeColor="accent3" w:themeTint="99"/>
      </w:tblBorders>
    </w:tblPr>
    <w:tcPr>
      <w:shd w:val="clear" w:color="auto" w:fill="FFFFFF" w:themeFill="background1"/>
      <w:tcMar>
        <w:top w:w="57" w:type="dxa"/>
        <w:bottom w:w="57" w:type="dxa"/>
      </w:tcMar>
      <w:vAlign w:val="center"/>
    </w:tcPr>
    <w:tblStylePr w:type="firstRow">
      <w:rPr>
        <w:rFonts w:ascii="RBC Text" w:hAnsi="RBC Text"/>
        <w:b w:val="0"/>
        <w:i w:val="0"/>
        <w:color w:val="003168" w:themeColor="text2"/>
        <w:sz w:val="18"/>
      </w:rPr>
      <w:tblPr/>
      <w:tcPr>
        <w:tcBorders>
          <w:top w:val="nil"/>
          <w:left w:val="nil"/>
          <w:bottom w:val="single" w:sz="4" w:space="0" w:color="B6CED8" w:themeColor="accent3" w:themeTint="99"/>
          <w:right w:val="nil"/>
          <w:insideH w:val="nil"/>
          <w:insideV w:val="nil"/>
          <w:tl2br w:val="nil"/>
          <w:tr2bl w:val="nil"/>
        </w:tcBorders>
        <w:shd w:val="clear" w:color="auto" w:fill="CEDFE5" w:themeFill="accent3" w:themeFillTint="66"/>
      </w:tcPr>
    </w:tblStylePr>
    <w:tblStylePr w:type="lastRow">
      <w:pPr>
        <w:jc w:val="left"/>
      </w:pPr>
      <w:rPr>
        <w:rFonts w:ascii="RBC Text" w:hAnsi="RBC Text"/>
        <w:b/>
        <w:sz w:val="16"/>
      </w:rPr>
      <w:tblPr/>
      <w:tcPr>
        <w:tcBorders>
          <w:top w:val="single" w:sz="4" w:space="0" w:color="B6CED8" w:themeColor="accent3" w:themeTint="99"/>
          <w:left w:val="single" w:sz="8" w:space="0" w:color="B6CED8" w:themeColor="accent3" w:themeTint="99"/>
          <w:bottom w:val="single" w:sz="8" w:space="0" w:color="B6CED8" w:themeColor="accent3" w:themeTint="99"/>
          <w:right w:val="single" w:sz="8" w:space="0" w:color="B6CED8" w:themeColor="accent3" w:themeTint="99"/>
          <w:insideH w:val="single" w:sz="8" w:space="0" w:color="B6CED8" w:themeColor="accent3" w:themeTint="99"/>
          <w:insideV w:val="single" w:sz="8" w:space="0" w:color="B6CED8" w:themeColor="accent3" w:themeTint="99"/>
          <w:tl2br w:val="nil"/>
          <w:tr2bl w:val="nil"/>
        </w:tcBorders>
        <w:shd w:val="clear" w:color="auto" w:fill="F2F0EC" w:themeFill="accent4" w:themeFillTint="33"/>
      </w:tcPr>
    </w:tblStylePr>
    <w:tblStylePr w:type="firstCol">
      <w:pPr>
        <w:jc w:val="left"/>
      </w:pPr>
      <w:rPr>
        <w:rFonts w:ascii="RBC Text" w:hAnsi="RBC Text"/>
        <w:sz w:val="16"/>
      </w:rPr>
    </w:tblStylePr>
    <w:tblStylePr w:type="lastCol">
      <w:pPr>
        <w:jc w:val="right"/>
      </w:pPr>
      <w:rPr>
        <w:rFonts w:ascii="RBC Text" w:hAnsi="RBC Text"/>
        <w:b/>
        <w:sz w:val="16"/>
      </w:rPr>
    </w:tblStylePr>
    <w:tblStylePr w:type="band1Vert">
      <w:pPr>
        <w:jc w:val="center"/>
      </w:pPr>
    </w:tblStylePr>
    <w:tblStylePr w:type="band2Vert">
      <w:pPr>
        <w:jc w:val="center"/>
      </w:pPr>
    </w:tblStylePr>
    <w:tblStylePr w:type="band1Horz">
      <w:pPr>
        <w:wordWrap/>
        <w:spacing w:beforeLines="0" w:before="0" w:beforeAutospacing="0" w:afterLines="0" w:after="0" w:afterAutospacing="0" w:line="240" w:lineRule="auto"/>
        <w:ind w:leftChars="0" w:left="0" w:firstLineChars="0" w:firstLine="0"/>
        <w:jc w:val="center"/>
      </w:pPr>
      <w:rPr>
        <w:rFonts w:ascii="RBC Text" w:hAnsi="RBC Text"/>
        <w:color w:val="000000" w:themeColor="text1"/>
        <w:sz w:val="16"/>
      </w:rPr>
      <w:tblPr/>
      <w:tcPr>
        <w:tcBorders>
          <w:top w:val="single" w:sz="4" w:space="0" w:color="B6CED8" w:themeColor="accent3" w:themeTint="99"/>
          <w:left w:val="single" w:sz="4" w:space="0" w:color="B6CED8" w:themeColor="accent3" w:themeTint="99"/>
          <w:bottom w:val="single" w:sz="4" w:space="0" w:color="B6CED8" w:themeColor="accent3" w:themeTint="99"/>
          <w:right w:val="single" w:sz="4" w:space="0" w:color="B6CED8" w:themeColor="accent3" w:themeTint="99"/>
          <w:insideH w:val="single" w:sz="4" w:space="0" w:color="B6CED8" w:themeColor="accent3" w:themeTint="99"/>
          <w:insideV w:val="single" w:sz="4" w:space="0" w:color="B6CED8" w:themeColor="accent3" w:themeTint="99"/>
          <w:tl2br w:val="nil"/>
          <w:tr2bl w:val="nil"/>
        </w:tcBorders>
        <w:shd w:val="clear" w:color="auto" w:fill="FFFFFF" w:themeFill="background1"/>
      </w:tcPr>
    </w:tblStylePr>
    <w:tblStylePr w:type="band2Horz">
      <w:pPr>
        <w:wordWrap/>
        <w:spacing w:beforeLines="0" w:before="0" w:beforeAutospacing="0" w:afterLines="0" w:after="0" w:afterAutospacing="0" w:line="240" w:lineRule="auto"/>
        <w:ind w:leftChars="0" w:left="0" w:firstLineChars="0" w:firstLine="0"/>
        <w:jc w:val="center"/>
      </w:pPr>
      <w:rPr>
        <w:rFonts w:ascii="RBC Text" w:hAnsi="RBC Text"/>
        <w:position w:val="0"/>
        <w:sz w:val="16"/>
      </w:rPr>
      <w:tblPr/>
      <w:tcPr>
        <w:tcBorders>
          <w:top w:val="single" w:sz="4" w:space="0" w:color="B6CED8" w:themeColor="accent3" w:themeTint="99"/>
          <w:left w:val="single" w:sz="4" w:space="0" w:color="B6CED8" w:themeColor="accent3" w:themeTint="99"/>
          <w:bottom w:val="single" w:sz="4" w:space="0" w:color="B6CED8" w:themeColor="accent3" w:themeTint="99"/>
          <w:right w:val="single" w:sz="4" w:space="0" w:color="B6CED8" w:themeColor="accent3" w:themeTint="99"/>
          <w:insideH w:val="single" w:sz="4" w:space="0" w:color="B6CED8" w:themeColor="accent3" w:themeTint="99"/>
          <w:insideV w:val="single" w:sz="4" w:space="0" w:color="B6CED8" w:themeColor="accent3" w:themeTint="99"/>
          <w:tl2br w:val="nil"/>
          <w:tr2bl w:val="nil"/>
        </w:tcBorders>
        <w:shd w:val="clear" w:color="auto" w:fill="E6EEF2" w:themeFill="accent3" w:themeFillTint="33"/>
        <w:vAlign w:val="center"/>
      </w:tcPr>
    </w:tblStylePr>
  </w:style>
  <w:style w:type="paragraph" w:customStyle="1" w:styleId="Bullet2">
    <w:name w:val="Bullet 2"/>
    <w:basedOn w:val="Puntoelenco2"/>
    <w:autoRedefine/>
    <w:uiPriority w:val="4"/>
    <w:qFormat/>
    <w:rsid w:val="002D3B13"/>
    <w:rPr>
      <w:sz w:val="20"/>
    </w:rPr>
  </w:style>
  <w:style w:type="paragraph" w:customStyle="1" w:styleId="Bullet3">
    <w:name w:val="Bullet 3"/>
    <w:basedOn w:val="Puntoelenco3"/>
    <w:autoRedefine/>
    <w:uiPriority w:val="4"/>
    <w:qFormat/>
    <w:rsid w:val="002D3B13"/>
    <w:rPr>
      <w:sz w:val="20"/>
    </w:rPr>
  </w:style>
  <w:style w:type="paragraph" w:customStyle="1" w:styleId="Bullet4">
    <w:name w:val="Bullet 4"/>
    <w:basedOn w:val="Puntoelenco3"/>
    <w:autoRedefine/>
    <w:uiPriority w:val="4"/>
    <w:qFormat/>
    <w:rsid w:val="002D3B13"/>
    <w:pPr>
      <w:numPr>
        <w:numId w:val="11"/>
      </w:numPr>
    </w:pPr>
    <w:rPr>
      <w:sz w:val="20"/>
    </w:rPr>
  </w:style>
  <w:style w:type="paragraph" w:styleId="Sommario1">
    <w:name w:val="toc 1"/>
    <w:basedOn w:val="Normale"/>
    <w:next w:val="Normale"/>
    <w:autoRedefine/>
    <w:uiPriority w:val="39"/>
    <w:unhideWhenUsed/>
    <w:rsid w:val="00AF6C04"/>
    <w:pPr>
      <w:spacing w:after="100" w:line="280" w:lineRule="exact"/>
    </w:pPr>
  </w:style>
  <w:style w:type="paragraph" w:styleId="Sommario2">
    <w:name w:val="toc 2"/>
    <w:basedOn w:val="Normale"/>
    <w:next w:val="Normale"/>
    <w:autoRedefine/>
    <w:uiPriority w:val="39"/>
    <w:unhideWhenUsed/>
    <w:rsid w:val="00AF6C04"/>
    <w:pPr>
      <w:spacing w:after="100" w:line="280" w:lineRule="exact"/>
      <w:ind w:left="198"/>
    </w:pPr>
  </w:style>
  <w:style w:type="paragraph" w:styleId="Pidipagina">
    <w:name w:val="footer"/>
    <w:basedOn w:val="Normale"/>
    <w:link w:val="PidipaginaCarattere"/>
    <w:autoRedefine/>
    <w:uiPriority w:val="99"/>
    <w:unhideWhenUsed/>
    <w:rsid w:val="00764515"/>
    <w:pPr>
      <w:tabs>
        <w:tab w:val="center" w:pos="4680"/>
        <w:tab w:val="right" w:pos="9360"/>
      </w:tabs>
      <w:jc w:val="right"/>
    </w:pPr>
    <w:rPr>
      <w:sz w:val="16"/>
      <w:szCs w:val="16"/>
    </w:rPr>
  </w:style>
  <w:style w:type="character" w:customStyle="1" w:styleId="PidipaginaCarattere">
    <w:name w:val="Piè di pagina Carattere"/>
    <w:basedOn w:val="Carpredefinitoparagrafo"/>
    <w:link w:val="Pidipagina"/>
    <w:uiPriority w:val="99"/>
    <w:rsid w:val="00764515"/>
    <w:rPr>
      <w:rFonts w:ascii="Arial" w:hAnsi="Arial"/>
      <w:sz w:val="16"/>
      <w:szCs w:val="16"/>
      <w:lang w:val="en-GB"/>
    </w:rPr>
  </w:style>
  <w:style w:type="paragraph" w:styleId="Sommario3">
    <w:name w:val="toc 3"/>
    <w:basedOn w:val="Normale"/>
    <w:next w:val="Normale"/>
    <w:autoRedefine/>
    <w:uiPriority w:val="39"/>
    <w:unhideWhenUsed/>
    <w:rsid w:val="00AF6C04"/>
    <w:pPr>
      <w:spacing w:after="100" w:line="280" w:lineRule="exact"/>
    </w:pPr>
    <w:rPr>
      <w:rFonts w:cs="Times New Roman"/>
      <w:lang w:val="en-US" w:eastAsia="en-US"/>
    </w:rPr>
  </w:style>
  <w:style w:type="character" w:styleId="Enfasigrassetto">
    <w:name w:val="Strong"/>
    <w:basedOn w:val="Carpredefinitoparagrafo"/>
    <w:uiPriority w:val="22"/>
    <w:semiHidden/>
    <w:qFormat/>
    <w:locked/>
    <w:rsid w:val="00570F61"/>
    <w:rPr>
      <w:b/>
      <w:bCs/>
    </w:rPr>
  </w:style>
  <w:style w:type="paragraph" w:customStyle="1" w:styleId="TabelTextBullet1">
    <w:name w:val="Tabel Text Bullet 1"/>
    <w:basedOn w:val="TableText"/>
    <w:uiPriority w:val="15"/>
    <w:qFormat/>
    <w:rsid w:val="00FB0120"/>
    <w:pPr>
      <w:numPr>
        <w:numId w:val="15"/>
      </w:numPr>
      <w:spacing w:before="40"/>
      <w:ind w:left="454" w:hanging="284"/>
    </w:pPr>
  </w:style>
  <w:style w:type="character" w:styleId="Collegamentovisitato">
    <w:name w:val="FollowedHyperlink"/>
    <w:basedOn w:val="Carpredefinitoparagrafo"/>
    <w:uiPriority w:val="99"/>
    <w:semiHidden/>
    <w:unhideWhenUsed/>
    <w:locked/>
    <w:rsid w:val="000F3E2B"/>
    <w:rPr>
      <w:color w:val="B3B6B8" w:themeColor="followedHyperlink"/>
      <w:u w:val="single"/>
    </w:rPr>
  </w:style>
  <w:style w:type="table" w:customStyle="1" w:styleId="RBCTablerightaligned">
    <w:name w:val="RBC Table right aligned"/>
    <w:basedOn w:val="Tabellanormale"/>
    <w:uiPriority w:val="99"/>
    <w:rsid w:val="00201850"/>
    <w:pPr>
      <w:spacing w:after="0" w:line="240" w:lineRule="auto"/>
      <w:jc w:val="right"/>
    </w:pPr>
    <w:rPr>
      <w:rFonts w:ascii="RBC Text" w:hAnsi="RBC Text"/>
      <w:sz w:val="18"/>
    </w:rPr>
    <w:tblPr>
      <w:tblStyleRowBandSize w:val="1"/>
      <w:tblBorders>
        <w:top w:val="single" w:sz="4" w:space="0" w:color="B6CED8" w:themeColor="accent3" w:themeTint="99"/>
        <w:left w:val="single" w:sz="4" w:space="0" w:color="B6CED8" w:themeColor="accent3" w:themeTint="99"/>
        <w:bottom w:val="single" w:sz="4" w:space="0" w:color="B6CED8" w:themeColor="accent3" w:themeTint="99"/>
        <w:right w:val="single" w:sz="4" w:space="0" w:color="B6CED8" w:themeColor="accent3" w:themeTint="99"/>
        <w:insideH w:val="single" w:sz="4" w:space="0" w:color="B6CED8" w:themeColor="accent3" w:themeTint="99"/>
        <w:insideV w:val="single" w:sz="4" w:space="0" w:color="B6CED8" w:themeColor="accent3" w:themeTint="99"/>
      </w:tblBorders>
    </w:tblPr>
    <w:tcPr>
      <w:vAlign w:val="bottom"/>
    </w:tcPr>
    <w:tblStylePr w:type="firstRow">
      <w:pPr>
        <w:wordWrap/>
        <w:spacing w:beforeLines="0" w:before="20" w:beforeAutospacing="0" w:afterLines="0" w:after="40" w:afterAutospacing="0" w:line="240" w:lineRule="auto"/>
      </w:pPr>
      <w:rPr>
        <w:rFonts w:ascii="RBC Display" w:hAnsi="RBC Display"/>
        <w:b w:val="0"/>
        <w:color w:val="003168" w:themeColor="text2"/>
        <w:sz w:val="18"/>
      </w:rPr>
      <w:tblPr/>
      <w:trPr>
        <w:tblHeader/>
      </w:trPr>
      <w:tcPr>
        <w:shd w:val="clear" w:color="auto" w:fill="B6CED8" w:themeFill="accent3" w:themeFillTint="99"/>
      </w:tcPr>
    </w:tblStylePr>
    <w:tblStylePr w:type="lastRow">
      <w:pPr>
        <w:wordWrap/>
        <w:spacing w:beforeLines="0" w:before="0" w:beforeAutospacing="0" w:afterLines="0" w:after="0" w:afterAutospacing="0" w:line="240" w:lineRule="auto"/>
        <w:ind w:leftChars="0" w:left="777" w:firstLineChars="0" w:hanging="720"/>
        <w:jc w:val="right"/>
      </w:pPr>
      <w:rPr>
        <w:rFonts w:ascii="RBC Text" w:hAnsi="RBC Text"/>
        <w:b/>
        <w:color w:val="000000" w:themeColor="text1"/>
        <w:sz w:val="16"/>
      </w:rPr>
      <w:tblPr/>
      <w:tcPr>
        <w:shd w:val="clear" w:color="auto" w:fill="F2F0EC" w:themeFill="accent4" w:themeFillTint="33"/>
      </w:tcPr>
    </w:tblStylePr>
    <w:tblStylePr w:type="firstCol">
      <w:pPr>
        <w:jc w:val="left"/>
      </w:pPr>
      <w:rPr>
        <w:rFonts w:ascii="RBC Text" w:hAnsi="RBC Text"/>
        <w:b w:val="0"/>
        <w:color w:val="000000" w:themeColor="text1"/>
        <w:sz w:val="16"/>
      </w:rPr>
      <w:tblPr/>
      <w:tcPr>
        <w:tcBorders>
          <w:right w:val="nil"/>
        </w:tcBorders>
      </w:tcPr>
    </w:tblStylePr>
    <w:tblStylePr w:type="lastCol">
      <w:pPr>
        <w:jc w:val="right"/>
      </w:pPr>
      <w:rPr>
        <w:rFonts w:ascii="RBC Text" w:hAnsi="RBC Text"/>
        <w:b/>
        <w:sz w:val="16"/>
      </w:rPr>
      <w:tblPr/>
      <w:tcPr>
        <w:tcBorders>
          <w:left w:val="nil"/>
        </w:tcBorders>
      </w:tcPr>
    </w:tblStylePr>
    <w:tblStylePr w:type="band1Horz">
      <w:pPr>
        <w:wordWrap/>
        <w:spacing w:beforeLines="40" w:before="40" w:beforeAutospacing="0" w:afterLines="20" w:after="20" w:afterAutospacing="0" w:line="240" w:lineRule="auto"/>
      </w:pPr>
      <w:tblPr/>
      <w:tcPr>
        <w:tcBorders>
          <w:top w:val="single" w:sz="4" w:space="0" w:color="B6CED8" w:themeColor="accent3" w:themeTint="99"/>
          <w:left w:val="single" w:sz="4" w:space="0" w:color="B6CED8" w:themeColor="accent3" w:themeTint="99"/>
          <w:bottom w:val="single" w:sz="4" w:space="0" w:color="B6CED8" w:themeColor="accent3" w:themeTint="99"/>
          <w:right w:val="single" w:sz="4" w:space="0" w:color="B6CED8" w:themeColor="accent3" w:themeTint="99"/>
          <w:insideH w:val="single" w:sz="4" w:space="0" w:color="B6CED8" w:themeColor="accent3" w:themeTint="99"/>
          <w:insideV w:val="single" w:sz="4" w:space="0" w:color="B6CED8" w:themeColor="accent3" w:themeTint="99"/>
          <w:tl2br w:val="nil"/>
          <w:tr2bl w:val="nil"/>
        </w:tcBorders>
        <w:shd w:val="clear" w:color="auto" w:fill="E1EBEF"/>
      </w:tcPr>
    </w:tblStylePr>
    <w:tblStylePr w:type="band2Horz">
      <w:pPr>
        <w:wordWrap/>
        <w:spacing w:beforeLines="40" w:before="40" w:beforeAutospacing="0" w:afterLines="20" w:after="20" w:afterAutospacing="0"/>
      </w:pPr>
      <w:rPr>
        <w:rFonts w:ascii="RBC Text" w:hAnsi="RBC Text"/>
        <w:color w:val="000000" w:themeColor="text1"/>
        <w:sz w:val="16"/>
      </w:rPr>
      <w:tblPr/>
      <w:tcPr>
        <w:tcBorders>
          <w:top w:val="single" w:sz="4" w:space="0" w:color="B6CED8" w:themeColor="accent3" w:themeTint="99"/>
          <w:left w:val="single" w:sz="4" w:space="0" w:color="B6CED8" w:themeColor="accent3" w:themeTint="99"/>
          <w:bottom w:val="single" w:sz="4" w:space="0" w:color="B6CED8" w:themeColor="accent3" w:themeTint="99"/>
          <w:right w:val="single" w:sz="4" w:space="0" w:color="B6CED8" w:themeColor="accent3" w:themeTint="99"/>
          <w:insideH w:val="single" w:sz="4" w:space="0" w:color="B6CED8" w:themeColor="accent3" w:themeTint="99"/>
          <w:insideV w:val="single" w:sz="4" w:space="0" w:color="B6CED8" w:themeColor="accent3" w:themeTint="99"/>
          <w:tl2br w:val="nil"/>
          <w:tr2bl w:val="nil"/>
        </w:tcBorders>
        <w:shd w:val="clear" w:color="auto" w:fill="FFFFFF" w:themeFill="background1"/>
      </w:tcPr>
    </w:tblStylePr>
  </w:style>
  <w:style w:type="table" w:customStyle="1" w:styleId="RBCTable2centered">
    <w:name w:val="RBC Table 2 centered"/>
    <w:basedOn w:val="Tabellanormale"/>
    <w:uiPriority w:val="99"/>
    <w:rsid w:val="00201850"/>
    <w:pPr>
      <w:spacing w:after="0" w:line="240" w:lineRule="auto"/>
      <w:jc w:val="center"/>
    </w:pPr>
    <w:rPr>
      <w:rFonts w:ascii="RBC Text" w:hAnsi="RBC Text"/>
      <w:color w:val="000000" w:themeColor="text1"/>
      <w:sz w:val="18"/>
    </w:rPr>
    <w:tblPr>
      <w:tblStyleRowBandSize w:val="1"/>
      <w:tblBorders>
        <w:top w:val="single" w:sz="4" w:space="0" w:color="B6CED8" w:themeColor="accent3" w:themeTint="99"/>
        <w:left w:val="single" w:sz="4" w:space="0" w:color="B6CED8" w:themeColor="accent3" w:themeTint="99"/>
        <w:bottom w:val="single" w:sz="4" w:space="0" w:color="B6CED8" w:themeColor="accent3" w:themeTint="99"/>
        <w:right w:val="single" w:sz="4" w:space="0" w:color="B6CED8" w:themeColor="accent3" w:themeTint="99"/>
        <w:insideH w:val="single" w:sz="4" w:space="0" w:color="B6CED8" w:themeColor="accent3" w:themeTint="99"/>
        <w:insideV w:val="single" w:sz="4" w:space="0" w:color="B6CED8" w:themeColor="accent3" w:themeTint="99"/>
      </w:tblBorders>
    </w:tblPr>
    <w:tcPr>
      <w:shd w:val="clear" w:color="auto" w:fill="FFFFFF" w:themeFill="background1"/>
      <w:vAlign w:val="center"/>
    </w:tcPr>
    <w:tblStylePr w:type="firstRow">
      <w:rPr>
        <w:rFonts w:ascii="RBC Text" w:hAnsi="RBC Text"/>
        <w:b w:val="0"/>
        <w:i w:val="0"/>
        <w:color w:val="003168" w:themeColor="text2"/>
        <w:sz w:val="18"/>
      </w:rPr>
      <w:tblPr/>
      <w:trPr>
        <w:tblHeader/>
      </w:trPr>
      <w:tcPr>
        <w:shd w:val="clear" w:color="auto" w:fill="B6CED8" w:themeFill="accent3" w:themeFillTint="99"/>
      </w:tcPr>
    </w:tblStylePr>
    <w:tblStylePr w:type="lastRow">
      <w:pPr>
        <w:jc w:val="center"/>
      </w:pPr>
      <w:rPr>
        <w:rFonts w:ascii="RBC Text" w:hAnsi="RBC Text"/>
        <w:b/>
        <w:sz w:val="16"/>
      </w:rPr>
      <w:tblPr/>
      <w:tcPr>
        <w:tcBorders>
          <w:top w:val="single" w:sz="4" w:space="0" w:color="B6CED8" w:themeColor="accent3" w:themeTint="99"/>
          <w:left w:val="single" w:sz="4" w:space="0" w:color="B6CED8" w:themeColor="accent3" w:themeTint="99"/>
          <w:bottom w:val="single" w:sz="4" w:space="0" w:color="B6CED8" w:themeColor="accent3" w:themeTint="99"/>
          <w:right w:val="single" w:sz="4" w:space="0" w:color="B6CED8" w:themeColor="accent3" w:themeTint="99"/>
          <w:insideH w:val="single" w:sz="4" w:space="0" w:color="B6CED8" w:themeColor="accent3" w:themeTint="99"/>
          <w:insideV w:val="single" w:sz="4" w:space="0" w:color="B6CED8" w:themeColor="accent3" w:themeTint="99"/>
          <w:tl2br w:val="nil"/>
          <w:tr2bl w:val="nil"/>
        </w:tcBorders>
        <w:shd w:val="clear" w:color="auto" w:fill="F2F0EC" w:themeFill="accent4" w:themeFillTint="33"/>
      </w:tcPr>
    </w:tblStylePr>
    <w:tblStylePr w:type="firstCol">
      <w:pPr>
        <w:jc w:val="left"/>
      </w:pPr>
      <w:rPr>
        <w:rFonts w:ascii="RBC Text" w:hAnsi="RBC Text"/>
        <w:sz w:val="16"/>
      </w:rPr>
    </w:tblStylePr>
    <w:tblStylePr w:type="lastCol">
      <w:rPr>
        <w:rFonts w:ascii="RBC Text" w:hAnsi="RBC Text"/>
        <w:b/>
        <w:sz w:val="16"/>
      </w:rPr>
    </w:tblStylePr>
    <w:tblStylePr w:type="band1Horz">
      <w:pPr>
        <w:wordWrap/>
        <w:spacing w:beforeLines="0" w:before="0" w:beforeAutospacing="0" w:afterLines="0" w:after="0" w:afterAutospacing="0" w:line="240" w:lineRule="auto"/>
        <w:ind w:leftChars="0" w:left="0" w:firstLineChars="0" w:firstLine="0"/>
        <w:jc w:val="center"/>
      </w:pPr>
      <w:rPr>
        <w:rFonts w:ascii="RBC Text" w:hAnsi="RBC Text"/>
        <w:color w:val="000000" w:themeColor="text1"/>
        <w:sz w:val="16"/>
      </w:rPr>
      <w:tblPr/>
      <w:tcPr>
        <w:tcBorders>
          <w:top w:val="single" w:sz="4" w:space="0" w:color="B6CED8" w:themeColor="accent3" w:themeTint="99"/>
          <w:left w:val="single" w:sz="4" w:space="0" w:color="B6CED8" w:themeColor="accent3" w:themeTint="99"/>
          <w:bottom w:val="single" w:sz="4" w:space="0" w:color="B6CED8" w:themeColor="accent3" w:themeTint="99"/>
          <w:right w:val="single" w:sz="4" w:space="0" w:color="B6CED8" w:themeColor="accent3" w:themeTint="99"/>
          <w:insideH w:val="single" w:sz="4" w:space="0" w:color="B6CED8" w:themeColor="accent3" w:themeTint="99"/>
          <w:insideV w:val="single" w:sz="4" w:space="0" w:color="B6CED8" w:themeColor="accent3" w:themeTint="99"/>
          <w:tl2br w:val="nil"/>
          <w:tr2bl w:val="nil"/>
        </w:tcBorders>
        <w:shd w:val="clear" w:color="auto" w:fill="E6EEF2" w:themeFill="accent3" w:themeFillTint="33"/>
      </w:tcPr>
    </w:tblStylePr>
    <w:tblStylePr w:type="band2Horz">
      <w:pPr>
        <w:wordWrap/>
        <w:spacing w:beforeLines="0" w:before="0" w:beforeAutospacing="0" w:afterLines="0" w:after="0" w:afterAutospacing="0" w:line="240" w:lineRule="auto"/>
        <w:ind w:leftChars="0" w:left="0" w:firstLineChars="0" w:firstLine="0"/>
        <w:jc w:val="center"/>
      </w:pPr>
      <w:rPr>
        <w:rFonts w:ascii="RBC Text" w:hAnsi="RBC Text"/>
        <w:position w:val="0"/>
        <w:sz w:val="16"/>
      </w:rPr>
      <w:tblPr/>
      <w:tcPr>
        <w:tcBorders>
          <w:top w:val="single" w:sz="4" w:space="0" w:color="B6CED8" w:themeColor="accent3" w:themeTint="99"/>
          <w:left w:val="single" w:sz="4" w:space="0" w:color="B6CED8" w:themeColor="accent3" w:themeTint="99"/>
          <w:bottom w:val="single" w:sz="4" w:space="0" w:color="B6CED8" w:themeColor="accent3" w:themeTint="99"/>
          <w:right w:val="single" w:sz="4" w:space="0" w:color="B6CED8" w:themeColor="accent3" w:themeTint="99"/>
          <w:insideH w:val="single" w:sz="4" w:space="0" w:color="B6CED8" w:themeColor="accent3" w:themeTint="99"/>
          <w:insideV w:val="single" w:sz="4" w:space="0" w:color="B6CED8" w:themeColor="accent3" w:themeTint="99"/>
          <w:tl2br w:val="nil"/>
          <w:tr2bl w:val="nil"/>
        </w:tcBorders>
        <w:shd w:val="clear" w:color="auto" w:fill="FFFFFF" w:themeFill="background1"/>
        <w:vAlign w:val="center"/>
      </w:tcPr>
    </w:tblStylePr>
  </w:style>
  <w:style w:type="paragraph" w:styleId="Numeroelenco2">
    <w:name w:val="List Number 2"/>
    <w:basedOn w:val="Normale"/>
    <w:uiPriority w:val="99"/>
    <w:unhideWhenUsed/>
    <w:locked/>
    <w:rsid w:val="00F00803"/>
    <w:pPr>
      <w:numPr>
        <w:numId w:val="24"/>
      </w:numPr>
      <w:contextualSpacing/>
    </w:pPr>
  </w:style>
  <w:style w:type="paragraph" w:styleId="Rientronormale">
    <w:name w:val="Normal Indent"/>
    <w:basedOn w:val="Normale"/>
    <w:uiPriority w:val="99"/>
    <w:semiHidden/>
    <w:unhideWhenUsed/>
    <w:locked/>
    <w:rsid w:val="00F00803"/>
    <w:pPr>
      <w:ind w:left="720"/>
    </w:pPr>
  </w:style>
  <w:style w:type="paragraph" w:styleId="Elenco5">
    <w:name w:val="List 5"/>
    <w:basedOn w:val="Normale"/>
    <w:autoRedefine/>
    <w:uiPriority w:val="99"/>
    <w:semiHidden/>
    <w:unhideWhenUsed/>
    <w:locked/>
    <w:rsid w:val="00227CE9"/>
    <w:pPr>
      <w:ind w:left="1415" w:hanging="283"/>
      <w:contextualSpacing/>
    </w:pPr>
  </w:style>
  <w:style w:type="paragraph" w:styleId="Puntoelenco4">
    <w:name w:val="List Bullet 4"/>
    <w:basedOn w:val="Normale"/>
    <w:uiPriority w:val="99"/>
    <w:semiHidden/>
    <w:unhideWhenUsed/>
    <w:locked/>
    <w:rsid w:val="008935E2"/>
    <w:pPr>
      <w:numPr>
        <w:numId w:val="21"/>
      </w:numPr>
      <w:contextualSpacing/>
    </w:pPr>
  </w:style>
  <w:style w:type="paragraph" w:styleId="Puntoelenco5">
    <w:name w:val="List Bullet 5"/>
    <w:basedOn w:val="Normale"/>
    <w:uiPriority w:val="99"/>
    <w:semiHidden/>
    <w:unhideWhenUsed/>
    <w:locked/>
    <w:rsid w:val="008935E2"/>
    <w:pPr>
      <w:numPr>
        <w:numId w:val="22"/>
      </w:numPr>
      <w:contextualSpacing/>
    </w:pPr>
  </w:style>
  <w:style w:type="paragraph" w:customStyle="1" w:styleId="StyleTableHeaderBefore48ptAfter24pt">
    <w:name w:val="Style Table Header + Before:  4.8 pt After:  2.4 pt"/>
    <w:basedOn w:val="TableHeader"/>
    <w:autoRedefine/>
    <w:rsid w:val="000C45A3"/>
    <w:pPr>
      <w:spacing w:before="96" w:after="48"/>
    </w:pPr>
    <w:rPr>
      <w:rFonts w:cs="Times New Roman"/>
      <w:szCs w:val="20"/>
    </w:rPr>
  </w:style>
  <w:style w:type="paragraph" w:customStyle="1" w:styleId="Tabletilte">
    <w:name w:val="Table tilte"/>
    <w:next w:val="TableText"/>
    <w:link w:val="TabletilteChar"/>
    <w:autoRedefine/>
    <w:uiPriority w:val="14"/>
    <w:qFormat/>
    <w:rsid w:val="000C45A3"/>
    <w:pPr>
      <w:snapToGrid w:val="0"/>
      <w:spacing w:before="80" w:after="80" w:line="240" w:lineRule="auto"/>
    </w:pPr>
    <w:rPr>
      <w:rFonts w:ascii="Arial" w:eastAsia="MS Mincho" w:hAnsi="Arial" w:cs="Arial"/>
      <w:b/>
      <w:bCs/>
      <w:color w:val="003168" w:themeColor="text2"/>
      <w:kern w:val="16"/>
      <w:sz w:val="20"/>
      <w:szCs w:val="18"/>
      <w:lang w:eastAsia="ja-JP"/>
    </w:rPr>
  </w:style>
  <w:style w:type="character" w:customStyle="1" w:styleId="TabletilteChar">
    <w:name w:val="Table tilte Char"/>
    <w:basedOn w:val="TableTextCharChar"/>
    <w:link w:val="Tabletilte"/>
    <w:uiPriority w:val="14"/>
    <w:rsid w:val="000C45A3"/>
    <w:rPr>
      <w:rFonts w:ascii="Arial" w:eastAsia="MS Mincho" w:hAnsi="Arial" w:cs="Arial"/>
      <w:b/>
      <w:bCs/>
      <w:color w:val="003168" w:themeColor="text2"/>
      <w:kern w:val="16"/>
      <w:sz w:val="20"/>
      <w:szCs w:val="18"/>
      <w:lang w:eastAsia="ja-JP"/>
    </w:rPr>
  </w:style>
  <w:style w:type="paragraph" w:customStyle="1" w:styleId="Tabletextleftaligned">
    <w:name w:val="Table text left aligned"/>
    <w:basedOn w:val="TableText"/>
    <w:autoRedefine/>
    <w:rsid w:val="000C45A3"/>
    <w:pPr>
      <w:snapToGrid w:val="0"/>
      <w:spacing w:beforeLines="40" w:before="96" w:afterLines="20" w:after="48"/>
      <w:ind w:left="777" w:hanging="720"/>
      <w:mirrorIndents w:val="0"/>
    </w:pPr>
    <w:rPr>
      <w:rFonts w:cs="Times New Roman"/>
      <w:szCs w:val="20"/>
    </w:rPr>
  </w:style>
  <w:style w:type="paragraph" w:customStyle="1" w:styleId="Tablecolumnheadingrightaligned">
    <w:name w:val="Table column heading right aligned"/>
    <w:basedOn w:val="Tabletilte"/>
    <w:autoRedefine/>
    <w:qFormat/>
    <w:rsid w:val="000C45A3"/>
    <w:pPr>
      <w:framePr w:hSpace="180" w:wrap="around" w:vAnchor="page" w:hAnchor="margin" w:y="8596"/>
      <w:jc w:val="right"/>
    </w:pPr>
    <w:rPr>
      <w:color w:val="000000" w:themeColor="text1"/>
    </w:rPr>
  </w:style>
  <w:style w:type="paragraph" w:customStyle="1" w:styleId="Tablecolumnheadingcentre">
    <w:name w:val="Table column heading centre"/>
    <w:basedOn w:val="Normale"/>
    <w:autoRedefine/>
    <w:qFormat/>
    <w:rsid w:val="00B02A74"/>
    <w:pPr>
      <w:framePr w:hSpace="180" w:wrap="around" w:hAnchor="margin" w:y="705"/>
      <w:adjustRightInd/>
      <w:spacing w:before="80" w:after="80" w:line="240" w:lineRule="auto"/>
    </w:pPr>
    <w:rPr>
      <w:rFonts w:eastAsia="MS Mincho" w:cs="Arial"/>
      <w:b/>
      <w:bCs/>
      <w:color w:val="000000" w:themeColor="text1"/>
      <w:kern w:val="16"/>
      <w:szCs w:val="18"/>
      <w:lang w:val="en-US" w:eastAsia="ja-JP"/>
    </w:rPr>
  </w:style>
  <w:style w:type="character" w:styleId="Rimandocommento">
    <w:name w:val="annotation reference"/>
    <w:basedOn w:val="Carpredefinitoparagrafo"/>
    <w:uiPriority w:val="99"/>
    <w:semiHidden/>
    <w:unhideWhenUsed/>
    <w:locked/>
    <w:rsid w:val="00A208FC"/>
    <w:rPr>
      <w:sz w:val="16"/>
      <w:szCs w:val="16"/>
    </w:rPr>
  </w:style>
  <w:style w:type="paragraph" w:styleId="Testocommento">
    <w:name w:val="annotation text"/>
    <w:basedOn w:val="Normale"/>
    <w:link w:val="TestocommentoCarattere"/>
    <w:uiPriority w:val="99"/>
    <w:semiHidden/>
    <w:unhideWhenUsed/>
    <w:locked/>
    <w:rsid w:val="00A208FC"/>
    <w:pPr>
      <w:spacing w:line="240" w:lineRule="auto"/>
    </w:pPr>
    <w:rPr>
      <w:szCs w:val="20"/>
    </w:rPr>
  </w:style>
  <w:style w:type="character" w:customStyle="1" w:styleId="TestocommentoCarattere">
    <w:name w:val="Testo commento Carattere"/>
    <w:basedOn w:val="Carpredefinitoparagrafo"/>
    <w:link w:val="Testocommento"/>
    <w:uiPriority w:val="99"/>
    <w:semiHidden/>
    <w:rsid w:val="00A208FC"/>
    <w:rPr>
      <w:rFonts w:ascii="Arial" w:hAnsi="Arial"/>
      <w:sz w:val="20"/>
      <w:szCs w:val="20"/>
      <w:lang w:val="en-GB"/>
    </w:rPr>
  </w:style>
  <w:style w:type="paragraph" w:styleId="Soggettocommento">
    <w:name w:val="annotation subject"/>
    <w:basedOn w:val="Testocommento"/>
    <w:next w:val="Testocommento"/>
    <w:link w:val="SoggettocommentoCarattere"/>
    <w:uiPriority w:val="99"/>
    <w:semiHidden/>
    <w:unhideWhenUsed/>
    <w:locked/>
    <w:rsid w:val="00A208FC"/>
    <w:rPr>
      <w:b/>
      <w:bCs/>
    </w:rPr>
  </w:style>
  <w:style w:type="character" w:customStyle="1" w:styleId="SoggettocommentoCarattere">
    <w:name w:val="Soggetto commento Carattere"/>
    <w:basedOn w:val="TestocommentoCarattere"/>
    <w:link w:val="Soggettocommento"/>
    <w:uiPriority w:val="99"/>
    <w:semiHidden/>
    <w:rsid w:val="00A208FC"/>
    <w:rPr>
      <w:rFonts w:ascii="Arial" w:hAnsi="Arial"/>
      <w:b/>
      <w:bCs/>
      <w:sz w:val="20"/>
      <w:szCs w:val="20"/>
      <w:lang w:val="en-GB"/>
    </w:rPr>
  </w:style>
  <w:style w:type="character" w:customStyle="1" w:styleId="UnresolvedMention1">
    <w:name w:val="Unresolved Mention1"/>
    <w:basedOn w:val="Carpredefinitoparagrafo"/>
    <w:uiPriority w:val="99"/>
    <w:semiHidden/>
    <w:unhideWhenUsed/>
    <w:rsid w:val="006250F4"/>
    <w:rPr>
      <w:color w:val="605E5C"/>
      <w:shd w:val="clear" w:color="auto" w:fill="E1DFDD"/>
    </w:rPr>
  </w:style>
  <w:style w:type="paragraph" w:styleId="Testonotaapidipagina">
    <w:name w:val="footnote text"/>
    <w:basedOn w:val="Normale"/>
    <w:link w:val="TestonotaapidipaginaCarattere"/>
    <w:uiPriority w:val="99"/>
    <w:semiHidden/>
    <w:unhideWhenUsed/>
    <w:locked/>
    <w:rsid w:val="005A12A3"/>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5A12A3"/>
    <w:rPr>
      <w:rFonts w:ascii="Arial" w:hAnsi="Arial"/>
      <w:sz w:val="20"/>
      <w:szCs w:val="20"/>
      <w:lang w:val="en-GB"/>
    </w:rPr>
  </w:style>
  <w:style w:type="character" w:styleId="Rimandonotaapidipagina">
    <w:name w:val="footnote reference"/>
    <w:basedOn w:val="Carpredefinitoparagrafo"/>
    <w:uiPriority w:val="99"/>
    <w:semiHidden/>
    <w:unhideWhenUsed/>
    <w:locked/>
    <w:rsid w:val="005A12A3"/>
    <w:rPr>
      <w:vertAlign w:val="superscript"/>
    </w:rPr>
  </w:style>
  <w:style w:type="character" w:customStyle="1" w:styleId="pspdfkit-8eut5gztkfn71zukw49x824t2">
    <w:name w:val="pspdfkit-8eut5gztkfn71zukw49x824t2"/>
    <w:basedOn w:val="Carpredefinitoparagrafo"/>
    <w:rsid w:val="00776651"/>
  </w:style>
  <w:style w:type="character" w:styleId="Menzionenonrisolta">
    <w:name w:val="Unresolved Mention"/>
    <w:basedOn w:val="Carpredefinitoparagrafo"/>
    <w:uiPriority w:val="99"/>
    <w:semiHidden/>
    <w:unhideWhenUsed/>
    <w:rsid w:val="008350DD"/>
    <w:rPr>
      <w:color w:val="605E5C"/>
      <w:shd w:val="clear" w:color="auto" w:fill="E1DFDD"/>
    </w:rPr>
  </w:style>
  <w:style w:type="paragraph" w:customStyle="1" w:styleId="xmsonormal">
    <w:name w:val="x_msonormal"/>
    <w:basedOn w:val="Normale"/>
    <w:rsid w:val="0056058A"/>
    <w:pPr>
      <w:adjustRightInd/>
      <w:snapToGrid/>
      <w:spacing w:line="240" w:lineRule="auto"/>
    </w:pPr>
    <w:rPr>
      <w:rFonts w:ascii="Calibri" w:hAnsi="Calibri" w:cs="Calibri"/>
      <w:sz w:val="22"/>
      <w:lang w:eastAsia="ja-JP"/>
    </w:rPr>
  </w:style>
  <w:style w:type="paragraph" w:customStyle="1" w:styleId="Default">
    <w:name w:val="Default"/>
    <w:rsid w:val="007E6083"/>
    <w:pPr>
      <w:autoSpaceDE w:val="0"/>
      <w:autoSpaceDN w:val="0"/>
      <w:adjustRightInd w:val="0"/>
      <w:spacing w:after="0" w:line="240" w:lineRule="auto"/>
    </w:pPr>
    <w:rPr>
      <w:rFonts w:ascii="Arial" w:hAnsi="Arial" w:cs="Arial"/>
      <w:color w:val="000000"/>
      <w:sz w:val="24"/>
      <w:szCs w:val="24"/>
      <w:lang w:val="en-GB"/>
    </w:rPr>
  </w:style>
  <w:style w:type="paragraph" w:styleId="NormaleWeb">
    <w:name w:val="Normal (Web)"/>
    <w:basedOn w:val="Normale"/>
    <w:uiPriority w:val="99"/>
    <w:semiHidden/>
    <w:unhideWhenUsed/>
    <w:locked/>
    <w:rsid w:val="00D91397"/>
    <w:pPr>
      <w:adjustRightInd/>
      <w:snapToGrid/>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e">
    <w:name w:val="Revision"/>
    <w:hidden/>
    <w:uiPriority w:val="99"/>
    <w:semiHidden/>
    <w:rsid w:val="004E6549"/>
    <w:pPr>
      <w:spacing w:after="0" w:line="240" w:lineRule="auto"/>
    </w:pPr>
    <w:rPr>
      <w:rFonts w:ascii="Arial"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75073">
      <w:bodyDiv w:val="1"/>
      <w:marLeft w:val="0"/>
      <w:marRight w:val="0"/>
      <w:marTop w:val="0"/>
      <w:marBottom w:val="0"/>
      <w:divBdr>
        <w:top w:val="none" w:sz="0" w:space="0" w:color="auto"/>
        <w:left w:val="none" w:sz="0" w:space="0" w:color="auto"/>
        <w:bottom w:val="none" w:sz="0" w:space="0" w:color="auto"/>
        <w:right w:val="none" w:sz="0" w:space="0" w:color="auto"/>
      </w:divBdr>
    </w:div>
    <w:div w:id="504636997">
      <w:bodyDiv w:val="1"/>
      <w:marLeft w:val="0"/>
      <w:marRight w:val="0"/>
      <w:marTop w:val="0"/>
      <w:marBottom w:val="0"/>
      <w:divBdr>
        <w:top w:val="none" w:sz="0" w:space="0" w:color="auto"/>
        <w:left w:val="none" w:sz="0" w:space="0" w:color="auto"/>
        <w:bottom w:val="none" w:sz="0" w:space="0" w:color="auto"/>
        <w:right w:val="none" w:sz="0" w:space="0" w:color="auto"/>
      </w:divBdr>
    </w:div>
    <w:div w:id="675350322">
      <w:bodyDiv w:val="1"/>
      <w:marLeft w:val="0"/>
      <w:marRight w:val="0"/>
      <w:marTop w:val="0"/>
      <w:marBottom w:val="0"/>
      <w:divBdr>
        <w:top w:val="none" w:sz="0" w:space="0" w:color="auto"/>
        <w:left w:val="none" w:sz="0" w:space="0" w:color="auto"/>
        <w:bottom w:val="none" w:sz="0" w:space="0" w:color="auto"/>
        <w:right w:val="none" w:sz="0" w:space="0" w:color="auto"/>
      </w:divBdr>
    </w:div>
    <w:div w:id="777138328">
      <w:bodyDiv w:val="1"/>
      <w:marLeft w:val="0"/>
      <w:marRight w:val="0"/>
      <w:marTop w:val="0"/>
      <w:marBottom w:val="0"/>
      <w:divBdr>
        <w:top w:val="none" w:sz="0" w:space="0" w:color="auto"/>
        <w:left w:val="none" w:sz="0" w:space="0" w:color="auto"/>
        <w:bottom w:val="none" w:sz="0" w:space="0" w:color="auto"/>
        <w:right w:val="none" w:sz="0" w:space="0" w:color="auto"/>
      </w:divBdr>
    </w:div>
    <w:div w:id="877158127">
      <w:bodyDiv w:val="1"/>
      <w:marLeft w:val="0"/>
      <w:marRight w:val="0"/>
      <w:marTop w:val="0"/>
      <w:marBottom w:val="0"/>
      <w:divBdr>
        <w:top w:val="none" w:sz="0" w:space="0" w:color="auto"/>
        <w:left w:val="none" w:sz="0" w:space="0" w:color="auto"/>
        <w:bottom w:val="none" w:sz="0" w:space="0" w:color="auto"/>
        <w:right w:val="none" w:sz="0" w:space="0" w:color="auto"/>
      </w:divBdr>
    </w:div>
    <w:div w:id="914358406">
      <w:bodyDiv w:val="1"/>
      <w:marLeft w:val="0"/>
      <w:marRight w:val="0"/>
      <w:marTop w:val="0"/>
      <w:marBottom w:val="0"/>
      <w:divBdr>
        <w:top w:val="none" w:sz="0" w:space="0" w:color="auto"/>
        <w:left w:val="none" w:sz="0" w:space="0" w:color="auto"/>
        <w:bottom w:val="none" w:sz="0" w:space="0" w:color="auto"/>
        <w:right w:val="none" w:sz="0" w:space="0" w:color="auto"/>
      </w:divBdr>
    </w:div>
    <w:div w:id="936252113">
      <w:bodyDiv w:val="1"/>
      <w:marLeft w:val="0"/>
      <w:marRight w:val="0"/>
      <w:marTop w:val="0"/>
      <w:marBottom w:val="0"/>
      <w:divBdr>
        <w:top w:val="none" w:sz="0" w:space="0" w:color="auto"/>
        <w:left w:val="none" w:sz="0" w:space="0" w:color="auto"/>
        <w:bottom w:val="none" w:sz="0" w:space="0" w:color="auto"/>
        <w:right w:val="none" w:sz="0" w:space="0" w:color="auto"/>
      </w:divBdr>
    </w:div>
    <w:div w:id="1097597596">
      <w:bodyDiv w:val="1"/>
      <w:marLeft w:val="0"/>
      <w:marRight w:val="0"/>
      <w:marTop w:val="0"/>
      <w:marBottom w:val="0"/>
      <w:divBdr>
        <w:top w:val="none" w:sz="0" w:space="0" w:color="auto"/>
        <w:left w:val="none" w:sz="0" w:space="0" w:color="auto"/>
        <w:bottom w:val="none" w:sz="0" w:space="0" w:color="auto"/>
        <w:right w:val="none" w:sz="0" w:space="0" w:color="auto"/>
      </w:divBdr>
    </w:div>
    <w:div w:id="1138910834">
      <w:bodyDiv w:val="1"/>
      <w:marLeft w:val="0"/>
      <w:marRight w:val="0"/>
      <w:marTop w:val="0"/>
      <w:marBottom w:val="0"/>
      <w:divBdr>
        <w:top w:val="none" w:sz="0" w:space="0" w:color="auto"/>
        <w:left w:val="none" w:sz="0" w:space="0" w:color="auto"/>
        <w:bottom w:val="none" w:sz="0" w:space="0" w:color="auto"/>
        <w:right w:val="none" w:sz="0" w:space="0" w:color="auto"/>
      </w:divBdr>
    </w:div>
    <w:div w:id="1164586187">
      <w:bodyDiv w:val="1"/>
      <w:marLeft w:val="0"/>
      <w:marRight w:val="0"/>
      <w:marTop w:val="0"/>
      <w:marBottom w:val="0"/>
      <w:divBdr>
        <w:top w:val="none" w:sz="0" w:space="0" w:color="auto"/>
        <w:left w:val="none" w:sz="0" w:space="0" w:color="auto"/>
        <w:bottom w:val="none" w:sz="0" w:space="0" w:color="auto"/>
        <w:right w:val="none" w:sz="0" w:space="0" w:color="auto"/>
      </w:divBdr>
    </w:div>
    <w:div w:id="1220941365">
      <w:bodyDiv w:val="1"/>
      <w:marLeft w:val="0"/>
      <w:marRight w:val="0"/>
      <w:marTop w:val="0"/>
      <w:marBottom w:val="0"/>
      <w:divBdr>
        <w:top w:val="none" w:sz="0" w:space="0" w:color="auto"/>
        <w:left w:val="none" w:sz="0" w:space="0" w:color="auto"/>
        <w:bottom w:val="none" w:sz="0" w:space="0" w:color="auto"/>
        <w:right w:val="none" w:sz="0" w:space="0" w:color="auto"/>
      </w:divBdr>
    </w:div>
    <w:div w:id="1319576659">
      <w:bodyDiv w:val="1"/>
      <w:marLeft w:val="0"/>
      <w:marRight w:val="0"/>
      <w:marTop w:val="0"/>
      <w:marBottom w:val="0"/>
      <w:divBdr>
        <w:top w:val="none" w:sz="0" w:space="0" w:color="auto"/>
        <w:left w:val="none" w:sz="0" w:space="0" w:color="auto"/>
        <w:bottom w:val="none" w:sz="0" w:space="0" w:color="auto"/>
        <w:right w:val="none" w:sz="0" w:space="0" w:color="auto"/>
      </w:divBdr>
    </w:div>
    <w:div w:id="1337340977">
      <w:bodyDiv w:val="1"/>
      <w:marLeft w:val="0"/>
      <w:marRight w:val="0"/>
      <w:marTop w:val="0"/>
      <w:marBottom w:val="0"/>
      <w:divBdr>
        <w:top w:val="none" w:sz="0" w:space="0" w:color="auto"/>
        <w:left w:val="none" w:sz="0" w:space="0" w:color="auto"/>
        <w:bottom w:val="none" w:sz="0" w:space="0" w:color="auto"/>
        <w:right w:val="none" w:sz="0" w:space="0" w:color="auto"/>
      </w:divBdr>
    </w:div>
    <w:div w:id="1422681290">
      <w:bodyDiv w:val="1"/>
      <w:marLeft w:val="0"/>
      <w:marRight w:val="0"/>
      <w:marTop w:val="0"/>
      <w:marBottom w:val="0"/>
      <w:divBdr>
        <w:top w:val="none" w:sz="0" w:space="0" w:color="auto"/>
        <w:left w:val="none" w:sz="0" w:space="0" w:color="auto"/>
        <w:bottom w:val="none" w:sz="0" w:space="0" w:color="auto"/>
        <w:right w:val="none" w:sz="0" w:space="0" w:color="auto"/>
      </w:divBdr>
    </w:div>
    <w:div w:id="1617371331">
      <w:bodyDiv w:val="1"/>
      <w:marLeft w:val="0"/>
      <w:marRight w:val="0"/>
      <w:marTop w:val="0"/>
      <w:marBottom w:val="0"/>
      <w:divBdr>
        <w:top w:val="none" w:sz="0" w:space="0" w:color="auto"/>
        <w:left w:val="none" w:sz="0" w:space="0" w:color="auto"/>
        <w:bottom w:val="none" w:sz="0" w:space="0" w:color="auto"/>
        <w:right w:val="none" w:sz="0" w:space="0" w:color="auto"/>
      </w:divBdr>
    </w:div>
    <w:div w:id="173770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uebay.com/investorrigh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bcbluebay@verinieassociati.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uebay.com/en-gb/institutional/what-we-think/insights/megatrends-2022-turmoil-fails-to-derail-long-term-investment-trends/?utm_source=website&amp;utm_medium=press-release&amp;utm_campaign=megatrends&amp;utm_content=megatrends-2022-turmoil-fails-to-derail-long-term-investment-tren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RBC HNW">
  <a:themeElements>
    <a:clrScheme name="RBC HNW Colors">
      <a:dk1>
        <a:srgbClr val="000000"/>
      </a:dk1>
      <a:lt1>
        <a:srgbClr val="FFFFFF"/>
      </a:lt1>
      <a:dk2>
        <a:srgbClr val="003168"/>
      </a:dk2>
      <a:lt2>
        <a:srgbClr val="E7EEF1"/>
      </a:lt2>
      <a:accent1>
        <a:srgbClr val="003168"/>
      </a:accent1>
      <a:accent2>
        <a:srgbClr val="FFC72C"/>
      </a:accent2>
      <a:accent3>
        <a:srgbClr val="87AFBF"/>
      </a:accent3>
      <a:accent4>
        <a:srgbClr val="C1B5A5"/>
      </a:accent4>
      <a:accent5>
        <a:srgbClr val="FCA311"/>
      </a:accent5>
      <a:accent6>
        <a:srgbClr val="B8A970"/>
      </a:accent6>
      <a:hlink>
        <a:srgbClr val="87AFBF"/>
      </a:hlink>
      <a:folHlink>
        <a:srgbClr val="B3B6B8"/>
      </a:folHlink>
    </a:clrScheme>
    <a:fontScheme name="RBC Arial Fonts">
      <a:majorFont>
        <a:latin typeface="Arial"/>
        <a:ea typeface=""/>
        <a:cs typeface=""/>
      </a:majorFont>
      <a:minorFont>
        <a:latin typeface="Arial"/>
        <a:ea typeface=""/>
        <a:cs typeface=""/>
      </a:minorFont>
    </a:fontScheme>
    <a:fmtScheme name="Flat">
      <a:fillStyleLst>
        <a:solidFill>
          <a:schemeClr val="phClr"/>
        </a:solidFill>
        <a:solidFill>
          <a:schemeClr val="phClr">
            <a:tint val="50000"/>
          </a:schemeClr>
        </a:solidFill>
        <a:solidFill>
          <a:schemeClr val="phClr">
            <a:shade val="65000"/>
          </a:schemeClr>
        </a:solidFill>
      </a:fillStyleLst>
      <a:lnStyleLst>
        <a:ln w="3175" cap="flat" cmpd="sng" algn="ctr">
          <a:solidFill>
            <a:schemeClr val="phClr">
              <a:shade val="65000"/>
            </a:schemeClr>
          </a:solidFill>
          <a:prstDash val="solid"/>
        </a:ln>
        <a:ln w="3175" cap="flat" cmpd="sng" algn="ctr">
          <a:solidFill>
            <a:schemeClr val="phClr"/>
          </a:solidFill>
          <a:prstDash val="solid"/>
        </a:ln>
        <a:ln w="0" cap="flat" cmpd="sng" algn="ctr">
          <a:noFill/>
        </a:ln>
      </a:lnStyleLst>
      <a:effectStyleLst>
        <a:effectStyle>
          <a:effectLst>
            <a:blur/>
          </a:effectLst>
        </a:effectStyle>
        <a:effectStyle>
          <a:effectLst>
            <a:blur/>
          </a:effectLst>
        </a:effectStyle>
        <a:effectStyle>
          <a:effectLst>
            <a:fillOverlay blend="darken">
              <a:solidFill>
                <a:schemeClr val="phClr">
                  <a:shade val="30000"/>
                </a:schemeClr>
              </a:solidFill>
            </a:fillOverlay>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3"/>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Warm Yellow">
      <a:srgbClr val="FFC72C"/>
    </a:custClr>
    <a:custClr name="Tundra">
      <a:srgbClr val="87AFBF"/>
    </a:custClr>
    <a:custClr name="Light Gray">
      <a:srgbClr val="C1B5A5"/>
    </a:custClr>
    <a:custClr name="Sunburst">
      <a:srgbClr val="FCA311"/>
    </a:custClr>
    <a:custClr name="Beige">
      <a:srgbClr val="B8A970"/>
    </a:custClr>
    <a:custClr name="Carbon">
      <a:srgbClr val="899299"/>
    </a:custClr>
    <a:custClr name="Apple">
      <a:srgbClr val="AABA0A"/>
    </a:custClr>
    <a:custClr name="Seaweed">
      <a:srgbClr val="588886"/>
    </a:custClr>
    <a:custClr name="Sky">
      <a:srgbClr val="51B5E0"/>
    </a:custClr>
    <a:custClr name="Slate Gray">
      <a:srgbClr val="6F6E6F"/>
    </a:custClr>
    <a:custClr name="Warm Yellow 70%">
      <a:srgbClr val="FFD86B"/>
    </a:custClr>
    <a:custClr name="Tundra 70%">
      <a:srgbClr val="ABC7D2"/>
    </a:custClr>
    <a:custClr name="Light Gray 70%">
      <a:srgbClr val="D4CBC0"/>
    </a:custClr>
    <a:custClr name="Sunburst 70%">
      <a:srgbClr val="FDBF58"/>
    </a:custClr>
    <a:custClr name="Beige 70%">
      <a:srgbClr val="CDC39B"/>
    </a:custClr>
    <a:custClr name="Carbon 70%">
      <a:srgbClr val="ACB3B8"/>
    </a:custClr>
    <a:custClr name="Apple 70%">
      <a:srgbClr val="C4CF54"/>
    </a:custClr>
    <a:custClr name="Seaweed 70%">
      <a:srgbClr val="8AACAA"/>
    </a:custClr>
    <a:custClr name="Sky 70%">
      <a:srgbClr val="85CBE9"/>
    </a:custClr>
    <a:custClr name="Slate Gray 70%">
      <a:srgbClr val="9A9A9A"/>
    </a:custClr>
    <a:custClr name="Warm Yellow 55%">
      <a:srgbClr val="FFE08B"/>
    </a:custClr>
    <a:custClr name="Tundra 55%">
      <a:srgbClr val="BDD3DC"/>
    </a:custClr>
    <a:custClr name="Light Gray 55%">
      <a:srgbClr val="DDD6CE"/>
    </a:custClr>
    <a:custClr name="Sunburst 55%">
      <a:srgbClr val="FDCC7C"/>
    </a:custClr>
    <a:custClr name="Beige 55%">
      <a:srgbClr val="D8D0B0"/>
    </a:custClr>
    <a:custClr name="Carbon 55%">
      <a:srgbClr val="BEC3C7"/>
    </a:custClr>
    <a:custClr name="Apple 55%">
      <a:srgbClr val="D0D978"/>
    </a:custClr>
    <a:custClr name="Seaweed 55%">
      <a:srgbClr val="A3BEBC"/>
    </a:custClr>
    <a:custClr name="Sky 55%">
      <a:srgbClr val="9FD6EE"/>
    </a:custClr>
    <a:custClr name="Slate Gray 55%">
      <a:srgbClr val="B0AFB0"/>
    </a:custClr>
    <a:custClr name="Warm Yellow 40%">
      <a:srgbClr val="FFE9AB"/>
    </a:custClr>
    <a:custClr name="Tundra 40%">
      <a:srgbClr val="CFDFE5"/>
    </a:custClr>
    <a:custClr name="Light Gray 40%">
      <a:srgbClr val="E6E1DB"/>
    </a:custClr>
    <a:custClr name="Sunburst 40%">
      <a:srgbClr val="FEDAA0"/>
    </a:custClr>
    <a:custClr name="Beige 40%">
      <a:srgbClr val="E3DDC6"/>
    </a:custClr>
    <a:custClr name="Carbon 40%">
      <a:srgbClr val="D0D3D6"/>
    </a:custClr>
    <a:custClr name="Apple 40%">
      <a:srgbClr val="DDE39D"/>
    </a:custClr>
    <a:custClr name="Seaweed 40%">
      <a:srgbClr val="BCCFCF"/>
    </a:custClr>
    <a:custClr name="Sky 40%">
      <a:srgbClr val="B9E1F3"/>
    </a:custClr>
    <a:custClr name="Slate Gray 40%">
      <a:srgbClr val="C5C5C5"/>
    </a:custClr>
    <a:custClr name="Warm Yellow 25%">
      <a:srgbClr val="FFF1CA"/>
    </a:custClr>
    <a:custClr name="Tundra 25%">
      <a:srgbClr val="E1EBEF"/>
    </a:custClr>
    <a:custClr name="Light Gray 25%">
      <a:srgbClr val="F0EDE9"/>
    </a:custClr>
    <a:custClr name="Sunburst 25%">
      <a:srgbClr val="FEE8C4"/>
    </a:custClr>
    <a:custClr name="Beige 25%">
      <a:srgbClr val="EDEADB"/>
    </a:custClr>
    <a:custClr name="Carbon 25%">
      <a:srgbClr val="E2E4E6"/>
    </a:custClr>
    <a:custClr name="Apple 25%">
      <a:srgbClr val="EAEEC2"/>
    </a:custClr>
    <a:custClr name="Seaweed 25%">
      <a:srgbClr val="D5E1E1"/>
    </a:custClr>
    <a:custClr name="Sky 25%">
      <a:srgbClr val="D4EDF7"/>
    </a:custClr>
    <a:custClr name="Slate Gray 25%">
      <a:srgbClr val="DBDBDB"/>
    </a:custClr>
  </a:custClrLst>
  <a:extLst>
    <a:ext uri="{05A4C25C-085E-4340-85A3-A5531E510DB2}">
      <thm15:themeFamily xmlns:thm15="http://schemas.microsoft.com/office/thememl/2012/main" name="RBC HNW" id="{EB339A03-9931-4616-A2CB-63AAA5CCD161}" vid="{CCFC0C11-5E21-4420-AD5B-D9651CB1F64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8B6E71DA8E24DA9946F1928E2B904" ma:contentTypeVersion="13" ma:contentTypeDescription="Create a new document." ma:contentTypeScope="" ma:versionID="62be7897f83f2160d55ff871c5b709ee">
  <xsd:schema xmlns:xsd="http://www.w3.org/2001/XMLSchema" xmlns:xs="http://www.w3.org/2001/XMLSchema" xmlns:p="http://schemas.microsoft.com/office/2006/metadata/properties" xmlns:ns3="8e5526e7-b9f5-4ddd-b646-01d3ad639c15" xmlns:ns4="0f7920f0-4a02-4edd-be9a-d126ab4f09ed" targetNamespace="http://schemas.microsoft.com/office/2006/metadata/properties" ma:root="true" ma:fieldsID="a8e92c0a21f148c3808c243a8800d8a1" ns3:_="" ns4:_="">
    <xsd:import namespace="8e5526e7-b9f5-4ddd-b646-01d3ad639c15"/>
    <xsd:import namespace="0f7920f0-4a02-4edd-be9a-d126ab4f09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526e7-b9f5-4ddd-b646-01d3ad639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7920f0-4a02-4edd-be9a-d126ab4f09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B3606-2ADF-4FE9-9F8F-D6F920E7E563}">
  <ds:schemaRefs>
    <ds:schemaRef ds:uri="http://schemas.openxmlformats.org/package/2006/metadata/core-properties"/>
    <ds:schemaRef ds:uri="http://schemas.microsoft.com/office/2006/documentManagement/types"/>
    <ds:schemaRef ds:uri="http://schemas.microsoft.com/office/infopath/2007/PartnerControls"/>
    <ds:schemaRef ds:uri="8e5526e7-b9f5-4ddd-b646-01d3ad639c15"/>
    <ds:schemaRef ds:uri="http://purl.org/dc/elements/1.1/"/>
    <ds:schemaRef ds:uri="http://schemas.microsoft.com/office/2006/metadata/properties"/>
    <ds:schemaRef ds:uri="http://purl.org/dc/terms/"/>
    <ds:schemaRef ds:uri="0f7920f0-4a02-4edd-be9a-d126ab4f09ed"/>
    <ds:schemaRef ds:uri="http://www.w3.org/XML/1998/namespace"/>
    <ds:schemaRef ds:uri="http://purl.org/dc/dcmitype/"/>
  </ds:schemaRefs>
</ds:datastoreItem>
</file>

<file path=customXml/itemProps2.xml><?xml version="1.0" encoding="utf-8"?>
<ds:datastoreItem xmlns:ds="http://schemas.openxmlformats.org/officeDocument/2006/customXml" ds:itemID="{6C4D4040-46D0-46F4-B0CC-B3E175E92561}">
  <ds:schemaRefs>
    <ds:schemaRef ds:uri="http://schemas.microsoft.com/sharepoint/v3/contenttype/forms"/>
  </ds:schemaRefs>
</ds:datastoreItem>
</file>

<file path=customXml/itemProps3.xml><?xml version="1.0" encoding="utf-8"?>
<ds:datastoreItem xmlns:ds="http://schemas.openxmlformats.org/officeDocument/2006/customXml" ds:itemID="{0749A4A8-66DC-4A56-B357-3D4EBF655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526e7-b9f5-4ddd-b646-01d3ad639c15"/>
    <ds:schemaRef ds:uri="0f7920f0-4a02-4edd-be9a-d126ab4f0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EB2BE3-DE60-405F-B42B-0E9BF94B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2301</Words>
  <Characters>12242</Characters>
  <Application>Microsoft Office Word</Application>
  <DocSecurity>0</DocSecurity>
  <Lines>177</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Goodfield</dc:creator>
  <cp:keywords/>
  <dc:description>Version 1.00
Job 1569
April 24, 2019</dc:description>
  <cp:lastModifiedBy>Diana Ferla</cp:lastModifiedBy>
  <cp:revision>11</cp:revision>
  <dcterms:created xsi:type="dcterms:W3CDTF">2022-11-17T16:27:00Z</dcterms:created>
  <dcterms:modified xsi:type="dcterms:W3CDTF">2022-11-25T09:11:00Z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TT_RBC_Internal</vt:lpwstr>
  </property>
  <property fmtid="{D5CDD505-2E9C-101B-9397-08002B2CF9AE}" pid="3" name="MSIP_Label_ec4675ff-0aee-4bda-a70e-a1f1af46c33c_Enabled">
    <vt:lpwstr>True</vt:lpwstr>
  </property>
  <property fmtid="{D5CDD505-2E9C-101B-9397-08002B2CF9AE}" pid="4" name="MSIP_Label_ec4675ff-0aee-4bda-a70e-a1f1af46c33c_SiteId">
    <vt:lpwstr>049111b5-d97f-4710-b00a-5a42955a4d8e</vt:lpwstr>
  </property>
  <property fmtid="{D5CDD505-2E9C-101B-9397-08002B2CF9AE}" pid="5" name="MSIP_Label_ec4675ff-0aee-4bda-a70e-a1f1af46c33c_Owner">
    <vt:lpwstr>ztaylor@bluebay.com</vt:lpwstr>
  </property>
  <property fmtid="{D5CDD505-2E9C-101B-9397-08002B2CF9AE}" pid="6" name="MSIP_Label_ec4675ff-0aee-4bda-a70e-a1f1af46c33c_SetDate">
    <vt:lpwstr>2021-12-02T17:15:17.7048810Z</vt:lpwstr>
  </property>
  <property fmtid="{D5CDD505-2E9C-101B-9397-08002B2CF9AE}" pid="7" name="MSIP_Label_ec4675ff-0aee-4bda-a70e-a1f1af46c33c_Name">
    <vt:lpwstr>Data Classification</vt:lpwstr>
  </property>
  <property fmtid="{D5CDD505-2E9C-101B-9397-08002B2CF9AE}" pid="8" name="MSIP_Label_ec4675ff-0aee-4bda-a70e-a1f1af46c33c_Application">
    <vt:lpwstr>Microsoft Azure Information Protection</vt:lpwstr>
  </property>
  <property fmtid="{D5CDD505-2E9C-101B-9397-08002B2CF9AE}" pid="9" name="MSIP_Label_ec4675ff-0aee-4bda-a70e-a1f1af46c33c_ActionId">
    <vt:lpwstr>aec6d97d-7709-4539-803d-2defb9eb0bc0</vt:lpwstr>
  </property>
  <property fmtid="{D5CDD505-2E9C-101B-9397-08002B2CF9AE}" pid="10" name="MSIP_Label_ec4675ff-0aee-4bda-a70e-a1f1af46c33c_Extended_MSFT_Method">
    <vt:lpwstr>Manual</vt:lpwstr>
  </property>
  <property fmtid="{D5CDD505-2E9C-101B-9397-08002B2CF9AE}" pid="11" name="MSIP_Label_d1f5891f-5164-45f4-b86d-f316a1250d92_Enabled">
    <vt:lpwstr>true</vt:lpwstr>
  </property>
  <property fmtid="{D5CDD505-2E9C-101B-9397-08002B2CF9AE}" pid="12" name="MSIP_Label_d1f5891f-5164-45f4-b86d-f316a1250d92_SetDate">
    <vt:lpwstr>2022-07-05T18:57:04Z</vt:lpwstr>
  </property>
  <property fmtid="{D5CDD505-2E9C-101B-9397-08002B2CF9AE}" pid="13" name="MSIP_Label_d1f5891f-5164-45f4-b86d-f316a1250d92_Method">
    <vt:lpwstr>Privileged</vt:lpwstr>
  </property>
  <property fmtid="{D5CDD505-2E9C-101B-9397-08002B2CF9AE}" pid="14" name="MSIP_Label_d1f5891f-5164-45f4-b86d-f316a1250d92_Name">
    <vt:lpwstr>d1f5891f-5164-45f4-b86d-f316a1250d92</vt:lpwstr>
  </property>
  <property fmtid="{D5CDD505-2E9C-101B-9397-08002B2CF9AE}" pid="15" name="MSIP_Label_d1f5891f-5164-45f4-b86d-f316a1250d92_SiteId">
    <vt:lpwstr>049111b5-d97f-4710-b00a-5a42955a4d8e</vt:lpwstr>
  </property>
  <property fmtid="{D5CDD505-2E9C-101B-9397-08002B2CF9AE}" pid="16" name="MSIP_Label_d1f5891f-5164-45f4-b86d-f316a1250d92_ActionId">
    <vt:lpwstr>aec6d97d-7709-4539-803d-2defb9eb0bc0</vt:lpwstr>
  </property>
  <property fmtid="{D5CDD505-2E9C-101B-9397-08002B2CF9AE}" pid="17" name="MSIP_Label_d1f5891f-5164-45f4-b86d-f316a1250d92_ContentBits">
    <vt:lpwstr>0</vt:lpwstr>
  </property>
  <property fmtid="{D5CDD505-2E9C-101B-9397-08002B2CF9AE}" pid="18" name="GrammarlyDocumentId">
    <vt:lpwstr>34cd567117780fd71832df82c11485b32527c2003c362a4e4f33417d5a7eee6f</vt:lpwstr>
  </property>
  <property fmtid="{D5CDD505-2E9C-101B-9397-08002B2CF9AE}" pid="19" name="ContentTypeId">
    <vt:lpwstr>0x0101006CB8B6E71DA8E24DA9946F1928E2B904</vt:lpwstr>
  </property>
</Properties>
</file>