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DB6F" w14:textId="678E80D1" w:rsidR="005934E0" w:rsidRPr="001927D7" w:rsidRDefault="00763FE0" w:rsidP="00FC775C">
      <w:pPr>
        <w:spacing w:after="0" w:line="20" w:lineRule="atLeast"/>
        <w:jc w:val="center"/>
        <w:rPr>
          <w:rFonts w:ascii="Arial" w:hAnsi="Arial" w:cs="Arial"/>
          <w:b/>
          <w:sz w:val="28"/>
          <w:szCs w:val="28"/>
        </w:rPr>
      </w:pPr>
      <w:bookmarkStart w:id="0" w:name="_Hlk83111918"/>
      <w:r w:rsidRPr="001927D7">
        <w:rPr>
          <w:rFonts w:ascii="Arial" w:hAnsi="Arial" w:cs="Arial"/>
          <w:b/>
          <w:sz w:val="28"/>
          <w:szCs w:val="28"/>
        </w:rPr>
        <w:t>EVENTI &amp; COMMENTI</w:t>
      </w:r>
      <w:r w:rsidR="00FB6E09" w:rsidRPr="001927D7">
        <w:rPr>
          <w:rFonts w:ascii="Arial" w:hAnsi="Arial" w:cs="Arial"/>
          <w:b/>
          <w:sz w:val="28"/>
          <w:szCs w:val="28"/>
        </w:rPr>
        <w:t xml:space="preserve"> - </w:t>
      </w:r>
      <w:r w:rsidR="009E429F" w:rsidRPr="001927D7">
        <w:rPr>
          <w:rFonts w:ascii="Arial" w:hAnsi="Arial" w:cs="Arial"/>
          <w:b/>
          <w:sz w:val="28"/>
          <w:szCs w:val="28"/>
        </w:rPr>
        <w:t>B</w:t>
      </w:r>
      <w:r w:rsidR="009E429F" w:rsidRPr="001927D7">
        <w:rPr>
          <w:rFonts w:ascii="Arial" w:hAnsi="Arial" w:cs="Arial"/>
          <w:b/>
          <w:sz w:val="28"/>
          <w:szCs w:val="28"/>
        </w:rPr>
        <w:t xml:space="preserve">anche centrali in regime "cruise control adattivo", </w:t>
      </w:r>
      <w:proofErr w:type="gramStart"/>
      <w:r w:rsidR="009E429F" w:rsidRPr="001927D7">
        <w:rPr>
          <w:rFonts w:ascii="Arial" w:hAnsi="Arial" w:cs="Arial"/>
          <w:b/>
          <w:sz w:val="28"/>
          <w:szCs w:val="28"/>
        </w:rPr>
        <w:t>fino ai primi meeting</w:t>
      </w:r>
      <w:proofErr w:type="gramEnd"/>
      <w:r w:rsidR="009E429F" w:rsidRPr="001927D7">
        <w:rPr>
          <w:rFonts w:ascii="Arial" w:hAnsi="Arial" w:cs="Arial"/>
          <w:b/>
          <w:sz w:val="28"/>
          <w:szCs w:val="28"/>
        </w:rPr>
        <w:t xml:space="preserve"> del 2023</w:t>
      </w:r>
    </w:p>
    <w:p w14:paraId="28FE2829" w14:textId="77777777" w:rsidR="00F77D51" w:rsidRPr="001927D7" w:rsidRDefault="00F77D51" w:rsidP="00FC775C">
      <w:pPr>
        <w:spacing w:after="0" w:line="20" w:lineRule="atLeast"/>
        <w:jc w:val="both"/>
        <w:rPr>
          <w:rFonts w:ascii="Arial" w:hAnsi="Arial" w:cs="Arial"/>
          <w:b/>
          <w:sz w:val="10"/>
          <w:szCs w:val="10"/>
        </w:rPr>
      </w:pPr>
    </w:p>
    <w:p w14:paraId="1199F044" w14:textId="5C3E5899" w:rsidR="00A76468" w:rsidRPr="001927D7" w:rsidRDefault="00A76468" w:rsidP="00FC775C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1927D7">
        <w:rPr>
          <w:rFonts w:ascii="Arial" w:hAnsi="Arial" w:cs="Arial"/>
          <w:bCs/>
          <w:i/>
          <w:iCs/>
          <w:sz w:val="24"/>
          <w:szCs w:val="24"/>
        </w:rPr>
        <w:t xml:space="preserve">A cura di Antonio Cesarano, </w:t>
      </w:r>
      <w:proofErr w:type="spellStart"/>
      <w:r w:rsidRPr="001927D7">
        <w:rPr>
          <w:rFonts w:ascii="Arial" w:hAnsi="Arial" w:cs="Arial"/>
          <w:bCs/>
          <w:i/>
          <w:iCs/>
          <w:sz w:val="24"/>
          <w:szCs w:val="24"/>
        </w:rPr>
        <w:t>Chief</w:t>
      </w:r>
      <w:proofErr w:type="spellEnd"/>
      <w:r w:rsidRPr="001927D7">
        <w:rPr>
          <w:rFonts w:ascii="Arial" w:hAnsi="Arial" w:cs="Arial"/>
          <w:bCs/>
          <w:i/>
          <w:iCs/>
          <w:sz w:val="24"/>
          <w:szCs w:val="24"/>
        </w:rPr>
        <w:t xml:space="preserve"> Global Strategist, Intermonte</w:t>
      </w:r>
    </w:p>
    <w:p w14:paraId="369F88E9" w14:textId="77777777" w:rsidR="007A2DB6" w:rsidRPr="001927D7" w:rsidRDefault="007A2DB6" w:rsidP="00FC775C">
      <w:pPr>
        <w:spacing w:after="0" w:line="20" w:lineRule="atLeast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17F596A" w14:textId="0A11E069" w:rsidR="00AA53D7" w:rsidRPr="001927D7" w:rsidRDefault="00B67AB1" w:rsidP="00FC775C">
      <w:pPr>
        <w:spacing w:after="0" w:line="20" w:lineRule="atLeast"/>
        <w:jc w:val="both"/>
        <w:rPr>
          <w:rFonts w:ascii="Arial" w:eastAsia="Times New Roman" w:hAnsi="Arial" w:cs="Arial"/>
          <w:color w:val="000000"/>
        </w:rPr>
      </w:pPr>
      <w:r w:rsidRPr="001927D7">
        <w:rPr>
          <w:rFonts w:ascii="Arial" w:eastAsia="Times New Roman" w:hAnsi="Arial" w:cs="Arial"/>
          <w:color w:val="000000"/>
        </w:rPr>
        <w:t xml:space="preserve">Milano, </w:t>
      </w:r>
      <w:r w:rsidR="009E429F" w:rsidRPr="001927D7">
        <w:rPr>
          <w:rFonts w:ascii="Arial" w:eastAsia="Times New Roman" w:hAnsi="Arial" w:cs="Arial"/>
          <w:color w:val="000000"/>
        </w:rPr>
        <w:t>23/11</w:t>
      </w:r>
      <w:r w:rsidRPr="001927D7">
        <w:rPr>
          <w:rFonts w:ascii="Arial" w:eastAsia="Times New Roman" w:hAnsi="Arial" w:cs="Arial"/>
          <w:color w:val="000000"/>
        </w:rPr>
        <w:t>/2022</w:t>
      </w:r>
    </w:p>
    <w:p w14:paraId="01F99896" w14:textId="5F5F5781" w:rsidR="00FB6E09" w:rsidRPr="001927D7" w:rsidRDefault="00FB6E09" w:rsidP="00FC775C">
      <w:pPr>
        <w:spacing w:after="0" w:line="20" w:lineRule="atLeast"/>
        <w:jc w:val="both"/>
        <w:rPr>
          <w:rFonts w:ascii="Arial" w:eastAsia="Times New Roman" w:hAnsi="Arial" w:cs="Arial"/>
          <w:color w:val="000000"/>
        </w:rPr>
      </w:pPr>
    </w:p>
    <w:p w14:paraId="012E5C5C" w14:textId="60F0C923" w:rsidR="009E429F" w:rsidRPr="001927D7" w:rsidRDefault="009E429F" w:rsidP="00FC775C">
      <w:pPr>
        <w:pStyle w:val="elementtoproof"/>
        <w:numPr>
          <w:ilvl w:val="0"/>
          <w:numId w:val="37"/>
        </w:numPr>
        <w:spacing w:before="0" w:beforeAutospacing="0" w:after="0" w:afterAutospacing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>La fine dell'anno si avvicina e nel frattempo si può iniziare a fare u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primo bilancio dell'interazione mercati/banche centrali con i relativi impatti sul mercato</w:t>
      </w:r>
    </w:p>
    <w:p w14:paraId="6A99D3EA" w14:textId="107885EA" w:rsidR="009E429F" w:rsidRPr="001927D7" w:rsidRDefault="009E429F" w:rsidP="00FC775C">
      <w:pPr>
        <w:numPr>
          <w:ilvl w:val="0"/>
          <w:numId w:val="37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L'alta inflazione ha costretto le banche centrali ad accelerare con le manovre restrittive, a partire dalla Fed che ai rialzi dei tassi ha anche aggiunto </w:t>
      </w:r>
      <w:proofErr w:type="gramStart"/>
      <w:r w:rsidRPr="001927D7">
        <w:rPr>
          <w:rFonts w:ascii="Arial" w:eastAsia="Times New Roman" w:hAnsi="Arial" w:cs="Arial"/>
          <w:color w:val="000000"/>
          <w:sz w:val="24"/>
          <w:szCs w:val="24"/>
        </w:rPr>
        <w:t>il quantitative</w:t>
      </w:r>
      <w:proofErr w:type="gramEnd"/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927D7">
        <w:rPr>
          <w:rFonts w:ascii="Arial" w:eastAsia="Times New Roman" w:hAnsi="Arial" w:cs="Arial"/>
          <w:color w:val="000000"/>
          <w:sz w:val="24"/>
          <w:szCs w:val="24"/>
        </w:rPr>
        <w:t>tightening</w:t>
      </w:r>
      <w:proofErr w:type="spellEnd"/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accelerato anche esso a settembre, insieme al ritmo di rialzo tassi, passato da giugno da 50 a 75pb</w:t>
      </w:r>
    </w:p>
    <w:p w14:paraId="4E34718A" w14:textId="3A1D5CC9" w:rsidR="009E429F" w:rsidRPr="001927D7" w:rsidRDefault="009E429F" w:rsidP="00FC775C">
      <w:pPr>
        <w:numPr>
          <w:ilvl w:val="0"/>
          <w:numId w:val="37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Un generico portafoglio globale 60% bond /40% equity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da inizio anno ha raggiunto il picco massimo di calo intorno a -22% nel mese di ottobre, mettendo a segno performance simili a quelle dell'indice MSCI WORLD</w:t>
      </w:r>
    </w:p>
    <w:p w14:paraId="4CF48B88" w14:textId="77777777" w:rsidR="009E429F" w:rsidRPr="001927D7" w:rsidRDefault="009E429F" w:rsidP="00FC775C">
      <w:pPr>
        <w:numPr>
          <w:ilvl w:val="0"/>
          <w:numId w:val="37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In sintes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i: </w:t>
      </w:r>
    </w:p>
    <w:p w14:paraId="5C99B66C" w14:textId="48B64A15" w:rsidR="009E429F" w:rsidRPr="001927D7" w:rsidRDefault="009E429F" w:rsidP="00FC775C">
      <w:pPr>
        <w:numPr>
          <w:ilvl w:val="1"/>
          <w:numId w:val="37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>la tipica correlazione negativ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bond/equity quest'anno non ha portato i benefici degli anni passati, in un contesto di rapido cambio di regime sui tassi indotto dalla fase </w:t>
      </w:r>
      <w:proofErr w:type="spellStart"/>
      <w:r w:rsidRPr="001927D7">
        <w:rPr>
          <w:rFonts w:ascii="Arial" w:eastAsia="Times New Roman" w:hAnsi="Arial" w:cs="Arial"/>
          <w:color w:val="000000"/>
          <w:sz w:val="24"/>
          <w:szCs w:val="24"/>
        </w:rPr>
        <w:t>iperinflattiva</w:t>
      </w:r>
      <w:proofErr w:type="spellEnd"/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in atto</w:t>
      </w:r>
    </w:p>
    <w:p w14:paraId="0FF83B28" w14:textId="77777777" w:rsidR="009E429F" w:rsidRPr="001927D7" w:rsidRDefault="009E429F" w:rsidP="00FC775C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10232EA" w14:textId="24BFA3B8" w:rsidR="009E429F" w:rsidRPr="001927D7" w:rsidRDefault="009E429F" w:rsidP="00FC775C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A3E5BDB" wp14:editId="44F60877">
            <wp:extent cx="6120130" cy="2170430"/>
            <wp:effectExtent l="0" t="0" r="13970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22086" w14:textId="77777777" w:rsidR="009E429F" w:rsidRPr="001927D7" w:rsidRDefault="009E429F" w:rsidP="00FC775C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566727F" w14:textId="6EE25257" w:rsidR="009E429F" w:rsidRPr="001927D7" w:rsidRDefault="009E429F" w:rsidP="00FC775C">
      <w:pPr>
        <w:numPr>
          <w:ilvl w:val="0"/>
          <w:numId w:val="38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>Se si passa ad osservare più direttamente il mercato azionario U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, si può notare come l'indice S&amp;P500 abbia segnato i minimi dell'anno a metà anno, aggiornandoli marginalmente ad ottobre, ma di fatto segnando un doppio minimo con i livelli di giugno</w:t>
      </w:r>
    </w:p>
    <w:p w14:paraId="6643465B" w14:textId="24368954" w:rsidR="009E429F" w:rsidRPr="001927D7" w:rsidRDefault="009E429F" w:rsidP="00FC775C">
      <w:pPr>
        <w:numPr>
          <w:ilvl w:val="0"/>
          <w:numId w:val="38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La variabile rimasta relativamente costante è stato il range di oscillazione della volatilità,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con l'indice VIX ricompreso nel range 20/35</w:t>
      </w:r>
    </w:p>
    <w:p w14:paraId="3DEEF131" w14:textId="77777777" w:rsidR="009E429F" w:rsidRPr="001927D7" w:rsidRDefault="009E429F" w:rsidP="00FC775C">
      <w:pPr>
        <w:numPr>
          <w:ilvl w:val="1"/>
          <w:numId w:val="38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Ex post tale range è stato reso possibile principalmente </w:t>
      </w: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dall'alternanza di toni duri/morbidi della Fed:</w:t>
      </w:r>
    </w:p>
    <w:p w14:paraId="12A7C05E" w14:textId="20C6CE90" w:rsidR="009E429F" w:rsidRPr="001927D7" w:rsidRDefault="009E429F" w:rsidP="00FC775C">
      <w:pPr>
        <w:numPr>
          <w:ilvl w:val="2"/>
          <w:numId w:val="38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a metà anno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aveva accennato all'ipotesi di rallentamento del ritmo di rialzi (che il mercato ha scambiato per pivot imminente)</w:t>
      </w:r>
    </w:p>
    <w:p w14:paraId="488B8846" w14:textId="77777777" w:rsidR="009E429F" w:rsidRPr="001927D7" w:rsidRDefault="009E429F" w:rsidP="00FC775C">
      <w:pPr>
        <w:numPr>
          <w:ilvl w:val="2"/>
          <w:numId w:val="38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a fine agosto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riferimento all' "andremo avanti anche con la recessione" </w:t>
      </w:r>
    </w:p>
    <w:p w14:paraId="2BF7D320" w14:textId="05EF3552" w:rsidR="009E429F" w:rsidRPr="001927D7" w:rsidRDefault="009E429F" w:rsidP="00FC775C">
      <w:pPr>
        <w:numPr>
          <w:ilvl w:val="2"/>
          <w:numId w:val="38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ad ottobre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il richiamo maggiore ai rischi di stabilità finanziaria, anche alla luce del caso fondi pensione </w:t>
      </w:r>
      <w:proofErr w:type="spellStart"/>
      <w:r w:rsidRPr="001927D7">
        <w:rPr>
          <w:rFonts w:ascii="Arial" w:eastAsia="Times New Roman" w:hAnsi="Arial" w:cs="Arial"/>
          <w:color w:val="000000"/>
          <w:sz w:val="24"/>
          <w:szCs w:val="24"/>
        </w:rPr>
        <w:t>Uk</w:t>
      </w:r>
      <w:proofErr w:type="spellEnd"/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di settembre</w:t>
      </w:r>
    </w:p>
    <w:p w14:paraId="5D6B4977" w14:textId="77777777" w:rsidR="009E429F" w:rsidRPr="001927D7" w:rsidRDefault="009E429F" w:rsidP="00FC775C">
      <w:pPr>
        <w:spacing w:after="0" w:line="20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5A4F424" w14:textId="77777777" w:rsidR="009E429F" w:rsidRPr="001927D7" w:rsidRDefault="009E429F" w:rsidP="00FC775C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32B29E4" w14:textId="44DD3772" w:rsidR="009E429F" w:rsidRPr="001927D7" w:rsidRDefault="009E429F" w:rsidP="00FC775C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1556A798" wp14:editId="6B7E39C5">
            <wp:extent cx="6120130" cy="2379345"/>
            <wp:effectExtent l="0" t="0" r="1397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2D5F5" w14:textId="77777777" w:rsidR="009E429F" w:rsidRPr="001927D7" w:rsidRDefault="009E429F" w:rsidP="00FC775C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</w:p>
    <w:p w14:paraId="740718CE" w14:textId="77777777" w:rsidR="009E429F" w:rsidRPr="001927D7" w:rsidRDefault="009E429F" w:rsidP="00FC775C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</w:p>
    <w:p w14:paraId="3706DE8F" w14:textId="7791AF3C" w:rsidR="009E429F" w:rsidRPr="001927D7" w:rsidRDefault="009E429F" w:rsidP="00FC775C">
      <w:pPr>
        <w:numPr>
          <w:ilvl w:val="0"/>
          <w:numId w:val="39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Questo atteggiamento della Fed a ben vedere è stato recepito </w:t>
      </w: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dagli operatori che progressivamente hanno </w:t>
      </w: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iniziato</w:t>
      </w: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 coprirsi sempre di meno contro rischio estremi,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ad esempio di un avvitamento continuativo al ribasso dei mercati</w:t>
      </w:r>
    </w:p>
    <w:p w14:paraId="1D94E805" w14:textId="1FBB131C" w:rsidR="009E429F" w:rsidRPr="001927D7" w:rsidRDefault="009E429F" w:rsidP="00FC775C">
      <w:pPr>
        <w:numPr>
          <w:ilvl w:val="1"/>
          <w:numId w:val="39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A testimonianza di ciò il fatto che è sceso il costo (ossia la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volatilità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) contro l'assicurazione da rischi estremi, come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testimoniato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dalla cosiddetta </w:t>
      </w: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SKEW in prossimità dei minimi storici</w:t>
      </w:r>
    </w:p>
    <w:p w14:paraId="7495DA03" w14:textId="3E3AB3C4" w:rsidR="009E429F" w:rsidRPr="001927D7" w:rsidRDefault="009E429F" w:rsidP="00FC775C">
      <w:pPr>
        <w:numPr>
          <w:ilvl w:val="2"/>
          <w:numId w:val="39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>In altri termini gli operatori han percepito la necessità di coprirsi da acquazzoni (ossia cali limitati e controllati de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l'equity) ma non uragani (alias cali continuativi ed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incontrollati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) </w:t>
      </w:r>
    </w:p>
    <w:p w14:paraId="33D988E5" w14:textId="77777777" w:rsidR="009E429F" w:rsidRPr="001927D7" w:rsidRDefault="009E429F" w:rsidP="00FC775C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</w:p>
    <w:p w14:paraId="3B6590EF" w14:textId="39E632E0" w:rsidR="009E429F" w:rsidRPr="001927D7" w:rsidRDefault="009E429F" w:rsidP="00FC775C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8682D30" wp14:editId="41A54858">
            <wp:extent cx="5951220" cy="2407920"/>
            <wp:effectExtent l="0" t="0" r="11430" b="1143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A9391" w14:textId="153BF380" w:rsidR="00FC775C" w:rsidRPr="001927D7" w:rsidRDefault="00FC775C" w:rsidP="00FC775C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7F93677" w14:textId="77777777" w:rsidR="00FC775C" w:rsidRPr="001927D7" w:rsidRDefault="00FC775C" w:rsidP="00FC775C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275EF33" w14:textId="65DC7CC5" w:rsidR="009E429F" w:rsidRPr="001927D7" w:rsidRDefault="009E429F" w:rsidP="00FC775C">
      <w:pPr>
        <w:numPr>
          <w:ilvl w:val="0"/>
          <w:numId w:val="40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Aggiungiamo </w:t>
      </w: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un altro ingrediente: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 l'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accelerazione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del ritmo del rialzo tassi nella seconda parte dell'anno ha progressivamente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interessato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sempre di più la parte a breve termine della curva mentre quella a lungo termine ha seguito un percorso autonomo fino a intraprendere un sentiero dicotomico (tassi a breve al rialzo e tassi a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lungo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termine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in calo)</w:t>
      </w:r>
    </w:p>
    <w:p w14:paraId="41665137" w14:textId="77777777" w:rsidR="009E429F" w:rsidRPr="001927D7" w:rsidRDefault="009E429F" w:rsidP="00FC775C">
      <w:pPr>
        <w:numPr>
          <w:ilvl w:val="0"/>
          <w:numId w:val="41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In altri termini </w:t>
      </w: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le curve dei tassi si sono sempre più invertite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soprattutto in US</w:t>
      </w:r>
    </w:p>
    <w:p w14:paraId="0D469515" w14:textId="1E4374C9" w:rsidR="009E429F" w:rsidRDefault="009E429F" w:rsidP="00FC775C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F9A6268" wp14:editId="37EAD8F8">
            <wp:extent cx="6120130" cy="2299970"/>
            <wp:effectExtent l="0" t="0" r="1397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41405" w14:textId="74E0C4DA" w:rsidR="00431F3D" w:rsidRDefault="00431F3D" w:rsidP="00FC775C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DECD282" w14:textId="77777777" w:rsidR="00431F3D" w:rsidRPr="001927D7" w:rsidRDefault="00431F3D" w:rsidP="00FC775C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7D201E5" w14:textId="77777777" w:rsidR="009E429F" w:rsidRPr="001927D7" w:rsidRDefault="009E429F" w:rsidP="00FC775C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D17DFB4" w14:textId="0DD07214" w:rsidR="009E429F" w:rsidRPr="001927D7" w:rsidRDefault="009E429F" w:rsidP="00FC775C">
      <w:pPr>
        <w:numPr>
          <w:ilvl w:val="0"/>
          <w:numId w:val="42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>Tutti questi fattori possono essere i primi ingredienti utilizzabili per provare a tracciare lo scenario mercati fino ai primi mesi del 2023, ossia fino ai primi incontri FED/BCE del prossimo anno, rispettivamente 1 e 2 febbraio</w:t>
      </w:r>
    </w:p>
    <w:p w14:paraId="27EDCB4B" w14:textId="5EF11A27" w:rsidR="009E429F" w:rsidRPr="001927D7" w:rsidRDefault="009E429F" w:rsidP="00FC775C">
      <w:pPr>
        <w:numPr>
          <w:ilvl w:val="0"/>
          <w:numId w:val="43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Le banche centrali, Fed in testa, potrebbero continuare a cercare di controllare la volatilità dei mercati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, nel tentativo di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evitare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sia avvitamenti eccessivi al ribasso sia anche eccessi di euforia: nel primo caso il rischio sarebbe quello di innescare uno dei tanti rischi di stabilità finanziaria, nel secondo caso (euforia) quello di vanificare parte degli intenti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restrittivi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, costringendo le stesse banche centrali a dover rincorrere i mercati alzando ulteriormente i tassi e/o accentuando il QT, il che a sua volta aumenterebbe i rischi di stabilità finanziaria (difficoltà da parte di alcune categorie di operatori, carenza di collaterale, illiquidità crescente dei mercati obbligazionari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927D7">
        <w:rPr>
          <w:rFonts w:ascii="Arial" w:eastAsia="Times New Roman" w:hAnsi="Arial" w:cs="Arial"/>
          <w:color w:val="000000"/>
          <w:sz w:val="24"/>
          <w:szCs w:val="24"/>
        </w:rPr>
        <w:t>ecc</w:t>
      </w:r>
      <w:proofErr w:type="spellEnd"/>
      <w:r w:rsidRPr="001927D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F97EC29" w14:textId="14E20F19" w:rsidR="009E429F" w:rsidRPr="001927D7" w:rsidRDefault="009E429F" w:rsidP="00FC775C">
      <w:pPr>
        <w:numPr>
          <w:ilvl w:val="0"/>
          <w:numId w:val="44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Di fatto un regime che metaforicamente potremmo definire di </w:t>
      </w: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"cruise control adattivo"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dove </w:t>
      </w: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le banche centrali adattano i loro toni/manovre non solo ai dati macro, ma sempre più al comportamento dei mercati,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con in mano la bussola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rappresentata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dalla volatilità che potrebbe continuare ad oscillare nel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range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20/35 visto nel corso del 2022</w:t>
      </w:r>
    </w:p>
    <w:p w14:paraId="624BC526" w14:textId="5EBA980C" w:rsidR="009E429F" w:rsidRPr="001927D7" w:rsidRDefault="009E429F" w:rsidP="00FC775C">
      <w:pPr>
        <w:numPr>
          <w:ilvl w:val="0"/>
          <w:numId w:val="44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Tutto questo almeno fino ai primi mesi del 202</w:t>
      </w: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, in attesa di verificare l'andamento dell'inflazione e l'impatto delle manovre restrittive fin qui implementate.</w:t>
      </w:r>
    </w:p>
    <w:p w14:paraId="0FD71DFF" w14:textId="77777777" w:rsidR="009E429F" w:rsidRPr="001927D7" w:rsidRDefault="009E429F" w:rsidP="00FC775C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AA67549" w14:textId="4DE5198D" w:rsidR="009E429F" w:rsidRPr="001927D7" w:rsidRDefault="009E429F" w:rsidP="00FC775C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>Pertanto,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entro </w:t>
      </w:r>
      <w:proofErr w:type="gramStart"/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i primi due meeting</w:t>
      </w:r>
      <w:proofErr w:type="gramEnd"/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di febbraio FED/BCE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EEE4D74" w14:textId="77777777" w:rsidR="009E429F" w:rsidRPr="001927D7" w:rsidRDefault="009E429F" w:rsidP="00FC775C">
      <w:pPr>
        <w:numPr>
          <w:ilvl w:val="0"/>
          <w:numId w:val="45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Andamento controllato (dalle banche centrali) dell'equit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y tenendo a riferimento </w:t>
      </w:r>
    </w:p>
    <w:p w14:paraId="471E5679" w14:textId="77777777" w:rsidR="009E429F" w:rsidRPr="001927D7" w:rsidRDefault="009E429F" w:rsidP="00FC775C">
      <w:pPr>
        <w:numPr>
          <w:ilvl w:val="1"/>
          <w:numId w:val="45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il range </w:t>
      </w: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20/35 del VIX che potrebbe corrispondere ad un range 3600/4200 per l'indice S&amp;P500</w:t>
      </w:r>
    </w:p>
    <w:p w14:paraId="71E83932" w14:textId="4A379657" w:rsidR="009E429F" w:rsidRPr="001927D7" w:rsidRDefault="009E429F" w:rsidP="00FC775C">
      <w:pPr>
        <w:numPr>
          <w:ilvl w:val="0"/>
          <w:numId w:val="46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Sul fronte tassi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i livelli fin qui raggiunti aprono lo spazio per opportunità di inserimento graduali e progressive innanzitutto di bond </w:t>
      </w:r>
      <w:proofErr w:type="spellStart"/>
      <w:r w:rsidRPr="001927D7">
        <w:rPr>
          <w:rFonts w:ascii="Arial" w:eastAsia="Times New Roman" w:hAnsi="Arial" w:cs="Arial"/>
          <w:color w:val="000000"/>
          <w:sz w:val="24"/>
          <w:szCs w:val="24"/>
        </w:rPr>
        <w:t>govies</w:t>
      </w:r>
      <w:proofErr w:type="spellEnd"/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corporate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portafoglio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, in vista di un primo approdo sui tassi a febbraio in area 5% Fed e 2,75/3% BCE, che il mercato ha di fatto incorporato nelle attese</w:t>
      </w:r>
    </w:p>
    <w:p w14:paraId="60D63B12" w14:textId="2EAE61A4" w:rsidR="009E429F" w:rsidRPr="001927D7" w:rsidRDefault="009E429F" w:rsidP="00FC775C">
      <w:pPr>
        <w:numPr>
          <w:ilvl w:val="1"/>
          <w:numId w:val="46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In questo caso la bussola per operatori e banche centrali potrebbe essere il monitoraggio dei tassi reali che stanno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iniziando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a dare segnali di top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raggiunto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. Il tasso reale </w:t>
      </w:r>
      <w:proofErr w:type="spellStart"/>
      <w:r w:rsidRPr="001927D7">
        <w:rPr>
          <w:rFonts w:ascii="Arial" w:eastAsia="Times New Roman" w:hAnsi="Arial" w:cs="Arial"/>
          <w:color w:val="000000"/>
          <w:sz w:val="24"/>
          <w:szCs w:val="24"/>
        </w:rPr>
        <w:t>Us</w:t>
      </w:r>
      <w:proofErr w:type="spellEnd"/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10y (in blu nel grafico) si è 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>infatti</w:t>
      </w:r>
      <w:r w:rsidRPr="001927D7">
        <w:rPr>
          <w:rFonts w:ascii="Arial" w:eastAsia="Times New Roman" w:hAnsi="Arial" w:cs="Arial"/>
          <w:color w:val="000000"/>
          <w:sz w:val="24"/>
          <w:szCs w:val="24"/>
        </w:rPr>
        <w:t xml:space="preserve"> fermato al massimo dal 2010 in area 1,70%, mentre il tasso nominale 10y (in bianco nel grafico) si è spinto  fino a segnare il top dal 2008 in area 4,35%</w:t>
      </w:r>
    </w:p>
    <w:p w14:paraId="15A4FAC8" w14:textId="77777777" w:rsidR="009E429F" w:rsidRPr="001927D7" w:rsidRDefault="009E429F" w:rsidP="00FC775C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5358AF1" w14:textId="3D68C868" w:rsidR="009E429F" w:rsidRPr="001927D7" w:rsidRDefault="009E429F" w:rsidP="00FC775C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7D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0BDECB3" wp14:editId="16F7D9BC">
            <wp:extent cx="6120130" cy="26276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CB15" w14:textId="77777777" w:rsidR="00FB6E09" w:rsidRPr="001927D7" w:rsidRDefault="00FB6E09" w:rsidP="00FC775C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</w:p>
    <w:p w14:paraId="0B549EB4" w14:textId="77777777" w:rsidR="00FB6E09" w:rsidRPr="001927D7" w:rsidRDefault="00FB6E09" w:rsidP="00FC775C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</w:p>
    <w:p w14:paraId="77C277D1" w14:textId="77777777" w:rsidR="00FB6E09" w:rsidRPr="001927D7" w:rsidRDefault="00FB6E09" w:rsidP="00FC775C">
      <w:pPr>
        <w:spacing w:after="0" w:line="20" w:lineRule="atLeast"/>
        <w:jc w:val="both"/>
        <w:rPr>
          <w:rFonts w:ascii="Arial" w:eastAsia="Times New Roman" w:hAnsi="Arial" w:cs="Arial"/>
          <w:color w:val="000000"/>
        </w:rPr>
      </w:pPr>
    </w:p>
    <w:bookmarkEnd w:id="0"/>
    <w:p w14:paraId="3DF9A798" w14:textId="77777777" w:rsidR="001E4373" w:rsidRPr="001927D7" w:rsidRDefault="001E4373" w:rsidP="00FC775C">
      <w:pPr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  <w:r w:rsidRPr="001927D7"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  <w:t xml:space="preserve">INTERMONTE </w:t>
      </w:r>
    </w:p>
    <w:p w14:paraId="2D9F44DE" w14:textId="77777777" w:rsidR="001E4373" w:rsidRPr="001927D7" w:rsidRDefault="001E4373" w:rsidP="00FC775C">
      <w:pPr>
        <w:spacing w:after="0" w:line="20" w:lineRule="atLeast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1927D7">
        <w:rPr>
          <w:rFonts w:ascii="Arial" w:hAnsi="Arial" w:cs="Arial"/>
          <w:color w:val="000000"/>
          <w:sz w:val="18"/>
          <w:szCs w:val="18"/>
        </w:rPr>
        <w:t xml:space="preserve">Intermonte è una Investment bank indipendente leader in Italia e punto di riferimento per gli investitori istituzionali italiani e internazionali nel segmento delle </w:t>
      </w:r>
      <w:proofErr w:type="spellStart"/>
      <w:r w:rsidRPr="001927D7">
        <w:rPr>
          <w:rFonts w:ascii="Arial" w:hAnsi="Arial" w:cs="Arial"/>
          <w:color w:val="000000"/>
          <w:sz w:val="18"/>
          <w:szCs w:val="18"/>
        </w:rPr>
        <w:t>mid</w:t>
      </w:r>
      <w:proofErr w:type="spellEnd"/>
      <w:r w:rsidRPr="001927D7">
        <w:rPr>
          <w:rFonts w:ascii="Arial" w:hAnsi="Arial" w:cs="Arial"/>
          <w:color w:val="000000"/>
          <w:sz w:val="18"/>
          <w:szCs w:val="18"/>
        </w:rPr>
        <w:t xml:space="preserve"> &amp; small </w:t>
      </w:r>
      <w:proofErr w:type="spellStart"/>
      <w:r w:rsidRPr="001927D7">
        <w:rPr>
          <w:rFonts w:ascii="Arial" w:hAnsi="Arial" w:cs="Arial"/>
          <w:color w:val="000000"/>
          <w:sz w:val="18"/>
          <w:szCs w:val="18"/>
        </w:rPr>
        <w:t>caps</w:t>
      </w:r>
      <w:proofErr w:type="spellEnd"/>
      <w:r w:rsidRPr="001927D7">
        <w:rPr>
          <w:rFonts w:ascii="Arial" w:hAnsi="Arial" w:cs="Arial"/>
          <w:color w:val="000000"/>
          <w:sz w:val="18"/>
          <w:szCs w:val="18"/>
        </w:rPr>
        <w:t xml:space="preserve">. Quotata sul mercato Euronext </w:t>
      </w:r>
      <w:proofErr w:type="spellStart"/>
      <w:r w:rsidRPr="001927D7">
        <w:rPr>
          <w:rFonts w:ascii="Arial" w:hAnsi="Arial" w:cs="Arial"/>
          <w:color w:val="000000"/>
          <w:sz w:val="18"/>
          <w:szCs w:val="18"/>
        </w:rPr>
        <w:t>Growth</w:t>
      </w:r>
      <w:proofErr w:type="spellEnd"/>
      <w:r w:rsidRPr="001927D7">
        <w:rPr>
          <w:rFonts w:ascii="Arial" w:hAnsi="Arial" w:cs="Arial"/>
          <w:color w:val="000000"/>
          <w:sz w:val="18"/>
          <w:szCs w:val="18"/>
        </w:rPr>
        <w:t xml:space="preserve"> Milan di Borsa Italiana, presenta un modello di business diversificato su quattro linee di attività, “Investment Banking”, “Sales &amp; Trading”, Global Markets” e “Digital </w:t>
      </w:r>
      <w:proofErr w:type="spellStart"/>
      <w:r w:rsidRPr="001927D7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1927D7">
        <w:rPr>
          <w:rFonts w:ascii="Arial" w:hAnsi="Arial" w:cs="Arial"/>
          <w:color w:val="000000"/>
          <w:sz w:val="18"/>
          <w:szCs w:val="18"/>
        </w:rPr>
        <w:t xml:space="preserve"> &amp; </w:t>
      </w:r>
      <w:proofErr w:type="spellStart"/>
      <w:r w:rsidRPr="001927D7">
        <w:rPr>
          <w:rFonts w:ascii="Arial" w:hAnsi="Arial" w:cs="Arial"/>
          <w:color w:val="000000"/>
          <w:sz w:val="18"/>
          <w:szCs w:val="18"/>
        </w:rPr>
        <w:t>Advisory</w:t>
      </w:r>
      <w:proofErr w:type="spellEnd"/>
      <w:r w:rsidRPr="001927D7">
        <w:rPr>
          <w:rFonts w:ascii="Arial" w:hAnsi="Arial" w:cs="Arial"/>
          <w:color w:val="000000"/>
          <w:sz w:val="18"/>
          <w:szCs w:val="18"/>
        </w:rPr>
        <w:t xml:space="preserve">”. </w:t>
      </w:r>
      <w:r w:rsidRPr="001927D7">
        <w:rPr>
          <w:rFonts w:ascii="Arial" w:hAnsi="Arial" w:cs="Arial"/>
          <w:color w:val="000000"/>
          <w:sz w:val="18"/>
          <w:szCs w:val="18"/>
          <w:u w:val="single"/>
        </w:rPr>
        <w:t>L’Investment</w:t>
      </w:r>
      <w:r w:rsidRPr="001927D7">
        <w:rPr>
          <w:rFonts w:ascii="Arial" w:hAnsi="Arial" w:cs="Arial"/>
          <w:color w:val="000000"/>
          <w:sz w:val="18"/>
          <w:u w:val="single"/>
        </w:rPr>
        <w:t xml:space="preserve"> Banking</w:t>
      </w:r>
      <w:r w:rsidRPr="001927D7">
        <w:rPr>
          <w:rFonts w:ascii="Arial" w:hAnsi="Arial" w:cs="Arial"/>
          <w:color w:val="000000"/>
          <w:sz w:val="18"/>
          <w:szCs w:val="18"/>
        </w:rPr>
        <w:t xml:space="preserve"> offre servizi rivolti a imprese quotate e non quotate in operazioni straordinarie, incluse operazioni di Equity Capital Markets, </w:t>
      </w:r>
      <w:proofErr w:type="spellStart"/>
      <w:r w:rsidRPr="001927D7">
        <w:rPr>
          <w:rFonts w:ascii="Arial" w:hAnsi="Arial" w:cs="Arial"/>
          <w:color w:val="000000"/>
          <w:sz w:val="18"/>
          <w:szCs w:val="18"/>
        </w:rPr>
        <w:t>Advisory</w:t>
      </w:r>
      <w:proofErr w:type="spellEnd"/>
      <w:r w:rsidRPr="001927D7">
        <w:rPr>
          <w:rFonts w:ascii="Arial" w:hAnsi="Arial" w:cs="Arial"/>
          <w:color w:val="000000"/>
          <w:sz w:val="18"/>
          <w:szCs w:val="18"/>
        </w:rPr>
        <w:t xml:space="preserve">, M&amp;A e </w:t>
      </w:r>
      <w:proofErr w:type="spellStart"/>
      <w:r w:rsidRPr="001927D7">
        <w:rPr>
          <w:rFonts w:ascii="Arial" w:hAnsi="Arial" w:cs="Arial"/>
          <w:color w:val="000000"/>
          <w:sz w:val="18"/>
          <w:szCs w:val="18"/>
        </w:rPr>
        <w:t>Debt</w:t>
      </w:r>
      <w:proofErr w:type="spellEnd"/>
      <w:r w:rsidRPr="001927D7">
        <w:rPr>
          <w:rFonts w:ascii="Arial" w:hAnsi="Arial" w:cs="Arial"/>
          <w:color w:val="000000"/>
          <w:sz w:val="18"/>
          <w:szCs w:val="18"/>
        </w:rPr>
        <w:t xml:space="preserve"> Capital Markets. Le divisioni </w:t>
      </w:r>
      <w:r w:rsidRPr="001927D7">
        <w:rPr>
          <w:rFonts w:ascii="Arial" w:hAnsi="Arial" w:cs="Arial"/>
          <w:color w:val="000000"/>
          <w:sz w:val="18"/>
          <w:u w:val="single"/>
        </w:rPr>
        <w:t>Sales &amp; Trading e Global Markets</w:t>
      </w:r>
      <w:r w:rsidRPr="001927D7">
        <w:rPr>
          <w:rFonts w:ascii="Arial" w:hAnsi="Arial" w:cs="Arial"/>
          <w:color w:val="000000"/>
          <w:sz w:val="18"/>
          <w:szCs w:val="18"/>
        </w:rPr>
        <w:t xml:space="preserve">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</w:t>
      </w:r>
      <w:r w:rsidRPr="001927D7">
        <w:rPr>
          <w:rFonts w:ascii="Arial" w:hAnsi="Arial" w:cs="Arial"/>
          <w:color w:val="000000"/>
          <w:sz w:val="18"/>
          <w:szCs w:val="18"/>
          <w:u w:val="single"/>
        </w:rPr>
        <w:t xml:space="preserve">La divisione “Digital </w:t>
      </w:r>
      <w:proofErr w:type="spellStart"/>
      <w:r w:rsidRPr="001927D7">
        <w:rPr>
          <w:rFonts w:ascii="Arial" w:hAnsi="Arial" w:cs="Arial"/>
          <w:color w:val="000000"/>
          <w:sz w:val="18"/>
          <w:szCs w:val="18"/>
          <w:u w:val="single"/>
        </w:rPr>
        <w:t>Division</w:t>
      </w:r>
      <w:proofErr w:type="spellEnd"/>
      <w:r w:rsidRPr="001927D7">
        <w:rPr>
          <w:rFonts w:ascii="Arial" w:hAnsi="Arial" w:cs="Arial"/>
          <w:color w:val="000000"/>
          <w:sz w:val="18"/>
          <w:szCs w:val="18"/>
          <w:u w:val="single"/>
        </w:rPr>
        <w:t xml:space="preserve"> &amp; </w:t>
      </w:r>
      <w:proofErr w:type="spellStart"/>
      <w:r w:rsidRPr="001927D7">
        <w:rPr>
          <w:rFonts w:ascii="Arial" w:hAnsi="Arial" w:cs="Arial"/>
          <w:color w:val="000000"/>
          <w:sz w:val="18"/>
          <w:szCs w:val="18"/>
          <w:u w:val="single"/>
        </w:rPr>
        <w:t>Advisory</w:t>
      </w:r>
      <w:proofErr w:type="spellEnd"/>
      <w:r w:rsidRPr="001927D7">
        <w:rPr>
          <w:rFonts w:ascii="Arial" w:hAnsi="Arial" w:cs="Arial"/>
          <w:color w:val="000000"/>
          <w:sz w:val="18"/>
          <w:szCs w:val="18"/>
          <w:u w:val="single"/>
        </w:rPr>
        <w:t>”</w:t>
      </w:r>
      <w:r w:rsidRPr="001927D7">
        <w:rPr>
          <w:rFonts w:ascii="Arial" w:hAnsi="Arial" w:cs="Arial"/>
          <w:color w:val="000000"/>
          <w:sz w:val="18"/>
          <w:szCs w:val="18"/>
        </w:rPr>
        <w:t xml:space="preserve"> è attiva nel risparmio gestito e consulenza agli investimenti. Websim è specializzata in produzione di contenuti finanziari destinati a investitori retail. T.I.E. - The Intermonte Eye - è l’area riservata a consulenti finanziari e private banker</w:t>
      </w:r>
      <w:r w:rsidRPr="001927D7">
        <w:rPr>
          <w:rFonts w:ascii="Arial" w:eastAsia="Calibri" w:hAnsi="Arial" w:cs="Arial"/>
          <w:color w:val="000000"/>
          <w:sz w:val="18"/>
          <w:szCs w:val="18"/>
        </w:rPr>
        <w:t>.</w:t>
      </w:r>
    </w:p>
    <w:p w14:paraId="5221B989" w14:textId="77777777" w:rsidR="001E4373" w:rsidRPr="001927D7" w:rsidRDefault="001E4373" w:rsidP="00FC775C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72D7A225" w14:textId="77777777" w:rsidR="001E4373" w:rsidRPr="001927D7" w:rsidRDefault="001E4373" w:rsidP="00FC775C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1927D7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55745C6D" w14:textId="77777777" w:rsidR="001E4373" w:rsidRPr="001927D7" w:rsidRDefault="001E4373" w:rsidP="00FC775C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1927D7">
        <w:rPr>
          <w:rFonts w:ascii="Arial" w:hAnsi="Arial" w:cs="Arial"/>
          <w:b/>
          <w:i/>
          <w:sz w:val="18"/>
          <w:szCs w:val="18"/>
        </w:rPr>
        <w:t>BC Communication</w:t>
      </w:r>
    </w:p>
    <w:p w14:paraId="6C0AAC85" w14:textId="77777777" w:rsidR="001E4373" w:rsidRPr="001927D7" w:rsidRDefault="001E4373" w:rsidP="00FC775C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1927D7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1927D7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8" w:history="1">
        <w:r w:rsidRPr="001927D7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1927D7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1927D7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1927D7">
        <w:rPr>
          <w:rFonts w:ascii="Arial" w:hAnsi="Arial" w:cs="Arial"/>
          <w:b/>
          <w:i/>
          <w:sz w:val="18"/>
          <w:szCs w:val="18"/>
        </w:rPr>
        <w:t>+39 335 5635111</w:t>
      </w:r>
    </w:p>
    <w:p w14:paraId="70894BDF" w14:textId="77777777" w:rsidR="001E4373" w:rsidRPr="001927D7" w:rsidRDefault="001E4373" w:rsidP="00FC775C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1927D7">
        <w:rPr>
          <w:rFonts w:ascii="Arial" w:hAnsi="Arial" w:cs="Arial"/>
          <w:b/>
          <w:i/>
          <w:sz w:val="18"/>
          <w:szCs w:val="18"/>
        </w:rPr>
        <w:t xml:space="preserve">Federica Guerrini </w:t>
      </w:r>
      <w:r w:rsidRPr="001927D7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9" w:history="1">
        <w:r w:rsidRPr="001927D7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federica.guerrini@bc-communication.it</w:t>
        </w:r>
      </w:hyperlink>
      <w:r w:rsidRPr="001927D7">
        <w:rPr>
          <w:rFonts w:ascii="Arial" w:hAnsi="Arial" w:cs="Arial"/>
          <w:bCs/>
          <w:i/>
          <w:sz w:val="18"/>
          <w:szCs w:val="18"/>
        </w:rPr>
        <w:t xml:space="preserve"> - </w:t>
      </w:r>
      <w:r w:rsidRPr="001927D7">
        <w:rPr>
          <w:rFonts w:ascii="Arial" w:hAnsi="Arial" w:cs="Arial"/>
          <w:b/>
          <w:i/>
          <w:sz w:val="18"/>
          <w:szCs w:val="18"/>
        </w:rPr>
        <w:t>+39 340 7500862</w:t>
      </w:r>
    </w:p>
    <w:p w14:paraId="7F81618D" w14:textId="7C48F9D6" w:rsidR="00A76468" w:rsidRPr="001927D7" w:rsidRDefault="00A76468" w:rsidP="00FC775C">
      <w:pPr>
        <w:pStyle w:val="notaintermonte"/>
        <w:spacing w:line="20" w:lineRule="atLeast"/>
        <w:rPr>
          <w:rFonts w:ascii="Arial" w:hAnsi="Arial" w:cs="Arial"/>
          <w:b/>
          <w:bCs/>
          <w:spacing w:val="-2"/>
          <w:sz w:val="20"/>
          <w:szCs w:val="20"/>
          <w:u w:val="single"/>
        </w:rPr>
      </w:pPr>
    </w:p>
    <w:sectPr w:rsidR="00A76468" w:rsidRPr="001927D7" w:rsidSect="00A76468">
      <w:footerReference w:type="default" r:id="rId20"/>
      <w:headerReference w:type="first" r:id="rId21"/>
      <w:footerReference w:type="first" r:id="rId22"/>
      <w:pgSz w:w="11906" w:h="16838" w:code="9"/>
      <w:pgMar w:top="1701" w:right="1134" w:bottom="1021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8262" w14:textId="77777777" w:rsidR="00F8035B" w:rsidRDefault="00F8035B" w:rsidP="00652E76">
      <w:pPr>
        <w:spacing w:after="0" w:line="240" w:lineRule="auto"/>
      </w:pPr>
      <w:r>
        <w:separator/>
      </w:r>
    </w:p>
  </w:endnote>
  <w:endnote w:type="continuationSeparator" w:id="0">
    <w:p w14:paraId="11BA23AE" w14:textId="77777777" w:rsidR="00F8035B" w:rsidRDefault="00F8035B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9933"/>
      <w:docPartObj>
        <w:docPartGallery w:val="Page Numbers (Bottom of Page)"/>
        <w:docPartUnique/>
      </w:docPartObj>
    </w:sdtPr>
    <w:sdtContent>
      <w:p w14:paraId="3BA17661" w14:textId="39787EFF" w:rsidR="00C9578D" w:rsidRDefault="00C957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29E041" w14:textId="77777777" w:rsidR="00C9578D" w:rsidRDefault="00C957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610401"/>
      <w:docPartObj>
        <w:docPartGallery w:val="Page Numbers (Bottom of Page)"/>
        <w:docPartUnique/>
      </w:docPartObj>
    </w:sdtPr>
    <w:sdtContent>
      <w:p w14:paraId="37B6E2F7" w14:textId="77777777" w:rsidR="00F83AC3" w:rsidRDefault="00F83AC3" w:rsidP="00F83A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EC187" w14:textId="77777777" w:rsidR="00F83AC3" w:rsidRDefault="00F83A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5687" w14:textId="77777777" w:rsidR="00F8035B" w:rsidRDefault="00F8035B" w:rsidP="00652E76">
      <w:pPr>
        <w:spacing w:after="0" w:line="240" w:lineRule="auto"/>
      </w:pPr>
      <w:r>
        <w:separator/>
      </w:r>
    </w:p>
  </w:footnote>
  <w:footnote w:type="continuationSeparator" w:id="0">
    <w:p w14:paraId="7E5A3EAF" w14:textId="77777777" w:rsidR="00F8035B" w:rsidRDefault="00F8035B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3754C82"/>
    <w:multiLevelType w:val="multilevel"/>
    <w:tmpl w:val="B6C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F15345"/>
    <w:multiLevelType w:val="multilevel"/>
    <w:tmpl w:val="867C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6D4476"/>
    <w:multiLevelType w:val="multilevel"/>
    <w:tmpl w:val="5C3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C25527"/>
    <w:multiLevelType w:val="multilevel"/>
    <w:tmpl w:val="ED2C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804340"/>
    <w:multiLevelType w:val="multilevel"/>
    <w:tmpl w:val="3F06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8F4BDE"/>
    <w:multiLevelType w:val="multilevel"/>
    <w:tmpl w:val="8E4A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4B080B"/>
    <w:multiLevelType w:val="multilevel"/>
    <w:tmpl w:val="60E4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0F0AE2"/>
    <w:multiLevelType w:val="multilevel"/>
    <w:tmpl w:val="714A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DB3D69"/>
    <w:multiLevelType w:val="multilevel"/>
    <w:tmpl w:val="5D6A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324727"/>
    <w:multiLevelType w:val="multilevel"/>
    <w:tmpl w:val="ED6C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AC7629"/>
    <w:multiLevelType w:val="multilevel"/>
    <w:tmpl w:val="862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D82441"/>
    <w:multiLevelType w:val="multilevel"/>
    <w:tmpl w:val="29B2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F431E6"/>
    <w:multiLevelType w:val="multilevel"/>
    <w:tmpl w:val="FACC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4D78BF"/>
    <w:multiLevelType w:val="multilevel"/>
    <w:tmpl w:val="FD2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302916"/>
    <w:multiLevelType w:val="multilevel"/>
    <w:tmpl w:val="C33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872B80"/>
    <w:multiLevelType w:val="multilevel"/>
    <w:tmpl w:val="2D2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70BC2"/>
    <w:multiLevelType w:val="multilevel"/>
    <w:tmpl w:val="9A80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D62C3C"/>
    <w:multiLevelType w:val="multilevel"/>
    <w:tmpl w:val="8844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DC0172"/>
    <w:multiLevelType w:val="multilevel"/>
    <w:tmpl w:val="51FA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024437"/>
    <w:multiLevelType w:val="multilevel"/>
    <w:tmpl w:val="48EE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843745"/>
    <w:multiLevelType w:val="multilevel"/>
    <w:tmpl w:val="0A46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0706C9"/>
    <w:multiLevelType w:val="multilevel"/>
    <w:tmpl w:val="F4CC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A45163"/>
    <w:multiLevelType w:val="multilevel"/>
    <w:tmpl w:val="FD04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D1442D"/>
    <w:multiLevelType w:val="multilevel"/>
    <w:tmpl w:val="50F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3B2C02"/>
    <w:multiLevelType w:val="multilevel"/>
    <w:tmpl w:val="EEE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263865"/>
    <w:multiLevelType w:val="multilevel"/>
    <w:tmpl w:val="7B10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EA6EA6"/>
    <w:multiLevelType w:val="multilevel"/>
    <w:tmpl w:val="6A7C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6C4BAF"/>
    <w:multiLevelType w:val="multilevel"/>
    <w:tmpl w:val="8AE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BD54D8"/>
    <w:multiLevelType w:val="multilevel"/>
    <w:tmpl w:val="6F78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697C26"/>
    <w:multiLevelType w:val="multilevel"/>
    <w:tmpl w:val="2520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D4444"/>
    <w:multiLevelType w:val="multilevel"/>
    <w:tmpl w:val="523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834262"/>
    <w:multiLevelType w:val="multilevel"/>
    <w:tmpl w:val="CAC0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1A705D"/>
    <w:multiLevelType w:val="multilevel"/>
    <w:tmpl w:val="EA62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894507"/>
    <w:multiLevelType w:val="multilevel"/>
    <w:tmpl w:val="A2E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9C31A7"/>
    <w:multiLevelType w:val="multilevel"/>
    <w:tmpl w:val="0CA8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BC087B"/>
    <w:multiLevelType w:val="multilevel"/>
    <w:tmpl w:val="0C3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D42DD3"/>
    <w:multiLevelType w:val="multilevel"/>
    <w:tmpl w:val="6F2A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3C44B9"/>
    <w:multiLevelType w:val="multilevel"/>
    <w:tmpl w:val="4C72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D53282"/>
    <w:multiLevelType w:val="multilevel"/>
    <w:tmpl w:val="D796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6E2CF3"/>
    <w:multiLevelType w:val="multilevel"/>
    <w:tmpl w:val="4F20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037892"/>
    <w:multiLevelType w:val="multilevel"/>
    <w:tmpl w:val="771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1242336">
    <w:abstractNumId w:val="2"/>
  </w:num>
  <w:num w:numId="2" w16cid:durableId="1017586614">
    <w:abstractNumId w:val="3"/>
  </w:num>
  <w:num w:numId="3" w16cid:durableId="156307296">
    <w:abstractNumId w:val="4"/>
  </w:num>
  <w:num w:numId="4" w16cid:durableId="726536384">
    <w:abstractNumId w:val="1"/>
  </w:num>
  <w:num w:numId="5" w16cid:durableId="149714475">
    <w:abstractNumId w:val="0"/>
  </w:num>
  <w:num w:numId="6" w16cid:durableId="1427729534">
    <w:abstractNumId w:val="46"/>
  </w:num>
  <w:num w:numId="7" w16cid:durableId="1940286580">
    <w:abstractNumId w:val="39"/>
  </w:num>
  <w:num w:numId="8" w16cid:durableId="732893235">
    <w:abstractNumId w:val="12"/>
  </w:num>
  <w:num w:numId="9" w16cid:durableId="257912100">
    <w:abstractNumId w:val="9"/>
  </w:num>
  <w:num w:numId="10" w16cid:durableId="952783435">
    <w:abstractNumId w:val="25"/>
  </w:num>
  <w:num w:numId="11" w16cid:durableId="102265087">
    <w:abstractNumId w:val="23"/>
  </w:num>
  <w:num w:numId="12" w16cid:durableId="1686780849">
    <w:abstractNumId w:val="43"/>
  </w:num>
  <w:num w:numId="13" w16cid:durableId="347216036">
    <w:abstractNumId w:val="35"/>
  </w:num>
  <w:num w:numId="14" w16cid:durableId="1712026197">
    <w:abstractNumId w:val="11"/>
  </w:num>
  <w:num w:numId="15" w16cid:durableId="1437864376">
    <w:abstractNumId w:val="44"/>
  </w:num>
  <w:num w:numId="16" w16cid:durableId="441998474">
    <w:abstractNumId w:val="30"/>
  </w:num>
  <w:num w:numId="17" w16cid:durableId="1318418210">
    <w:abstractNumId w:val="29"/>
  </w:num>
  <w:num w:numId="18" w16cid:durableId="1651010885">
    <w:abstractNumId w:val="41"/>
  </w:num>
  <w:num w:numId="19" w16cid:durableId="804394431">
    <w:abstractNumId w:val="34"/>
  </w:num>
  <w:num w:numId="20" w16cid:durableId="907688639">
    <w:abstractNumId w:val="42"/>
  </w:num>
  <w:num w:numId="21" w16cid:durableId="1143741891">
    <w:abstractNumId w:val="8"/>
  </w:num>
  <w:num w:numId="22" w16cid:durableId="307367360">
    <w:abstractNumId w:val="17"/>
  </w:num>
  <w:num w:numId="23" w16cid:durableId="249588860">
    <w:abstractNumId w:val="24"/>
  </w:num>
  <w:num w:numId="24" w16cid:durableId="1021972906">
    <w:abstractNumId w:val="31"/>
  </w:num>
  <w:num w:numId="25" w16cid:durableId="2130666140">
    <w:abstractNumId w:val="13"/>
  </w:num>
  <w:num w:numId="26" w16cid:durableId="631865191">
    <w:abstractNumId w:val="14"/>
  </w:num>
  <w:num w:numId="27" w16cid:durableId="1670861272">
    <w:abstractNumId w:val="10"/>
  </w:num>
  <w:num w:numId="28" w16cid:durableId="1798986345">
    <w:abstractNumId w:val="33"/>
  </w:num>
  <w:num w:numId="29" w16cid:durableId="674653889">
    <w:abstractNumId w:val="45"/>
  </w:num>
  <w:num w:numId="30" w16cid:durableId="479736429">
    <w:abstractNumId w:val="19"/>
  </w:num>
  <w:num w:numId="31" w16cid:durableId="1364332573">
    <w:abstractNumId w:val="36"/>
  </w:num>
  <w:num w:numId="32" w16cid:durableId="613025102">
    <w:abstractNumId w:val="18"/>
  </w:num>
  <w:num w:numId="33" w16cid:durableId="2122265638">
    <w:abstractNumId w:val="32"/>
  </w:num>
  <w:num w:numId="34" w16cid:durableId="1383094572">
    <w:abstractNumId w:val="26"/>
  </w:num>
  <w:num w:numId="35" w16cid:durableId="604266887">
    <w:abstractNumId w:val="21"/>
  </w:num>
  <w:num w:numId="36" w16cid:durableId="673723416">
    <w:abstractNumId w:val="27"/>
  </w:num>
  <w:num w:numId="37" w16cid:durableId="130916749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4409061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77779367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9250320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59764373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03115112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208872429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686665887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63913782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488132163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31E6"/>
    <w:rsid w:val="00004334"/>
    <w:rsid w:val="00005043"/>
    <w:rsid w:val="000058B5"/>
    <w:rsid w:val="00005950"/>
    <w:rsid w:val="00005BB6"/>
    <w:rsid w:val="00005C08"/>
    <w:rsid w:val="00005EC3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460F"/>
    <w:rsid w:val="00024DA5"/>
    <w:rsid w:val="00024F22"/>
    <w:rsid w:val="000257B3"/>
    <w:rsid w:val="00030899"/>
    <w:rsid w:val="00030FCF"/>
    <w:rsid w:val="00031C27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58EE"/>
    <w:rsid w:val="000461E9"/>
    <w:rsid w:val="00046C67"/>
    <w:rsid w:val="0004711E"/>
    <w:rsid w:val="00047484"/>
    <w:rsid w:val="00052756"/>
    <w:rsid w:val="00052AAF"/>
    <w:rsid w:val="0005452D"/>
    <w:rsid w:val="00055536"/>
    <w:rsid w:val="0005714F"/>
    <w:rsid w:val="000578A5"/>
    <w:rsid w:val="00057C91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BDA"/>
    <w:rsid w:val="00075ECD"/>
    <w:rsid w:val="00076F2B"/>
    <w:rsid w:val="0007772F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95DD2"/>
    <w:rsid w:val="000A015F"/>
    <w:rsid w:val="000A098C"/>
    <w:rsid w:val="000A241A"/>
    <w:rsid w:val="000A2805"/>
    <w:rsid w:val="000A2F97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A93"/>
    <w:rsid w:val="000C1D2E"/>
    <w:rsid w:val="000C29B3"/>
    <w:rsid w:val="000C3B7B"/>
    <w:rsid w:val="000C5572"/>
    <w:rsid w:val="000C6C01"/>
    <w:rsid w:val="000D0DB9"/>
    <w:rsid w:val="000D0DD8"/>
    <w:rsid w:val="000D1EB9"/>
    <w:rsid w:val="000D278C"/>
    <w:rsid w:val="000D45F6"/>
    <w:rsid w:val="000D46FC"/>
    <w:rsid w:val="000D4DC4"/>
    <w:rsid w:val="000D5E27"/>
    <w:rsid w:val="000D75DB"/>
    <w:rsid w:val="000D7A05"/>
    <w:rsid w:val="000E0AA5"/>
    <w:rsid w:val="000E1369"/>
    <w:rsid w:val="000E1782"/>
    <w:rsid w:val="000E2668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3B9C"/>
    <w:rsid w:val="0013435C"/>
    <w:rsid w:val="00135C7F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242B"/>
    <w:rsid w:val="001748AB"/>
    <w:rsid w:val="00174FF5"/>
    <w:rsid w:val="001763A2"/>
    <w:rsid w:val="0017657F"/>
    <w:rsid w:val="001805A3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26D8"/>
    <w:rsid w:val="001927D7"/>
    <w:rsid w:val="00193C2C"/>
    <w:rsid w:val="001947B2"/>
    <w:rsid w:val="001A066D"/>
    <w:rsid w:val="001A4887"/>
    <w:rsid w:val="001A4A32"/>
    <w:rsid w:val="001A559E"/>
    <w:rsid w:val="001A5F18"/>
    <w:rsid w:val="001B19BC"/>
    <w:rsid w:val="001B2512"/>
    <w:rsid w:val="001B2977"/>
    <w:rsid w:val="001B31DE"/>
    <w:rsid w:val="001B3288"/>
    <w:rsid w:val="001B4422"/>
    <w:rsid w:val="001B58DA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373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D83"/>
    <w:rsid w:val="001F5217"/>
    <w:rsid w:val="001F595B"/>
    <w:rsid w:val="001F65BF"/>
    <w:rsid w:val="00200262"/>
    <w:rsid w:val="002025DC"/>
    <w:rsid w:val="00204351"/>
    <w:rsid w:val="002048BD"/>
    <w:rsid w:val="0021277C"/>
    <w:rsid w:val="00214796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3F30"/>
    <w:rsid w:val="0025403B"/>
    <w:rsid w:val="002568F6"/>
    <w:rsid w:val="002572C6"/>
    <w:rsid w:val="0026048B"/>
    <w:rsid w:val="002605BE"/>
    <w:rsid w:val="00260C7B"/>
    <w:rsid w:val="002645AE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76E34"/>
    <w:rsid w:val="00281559"/>
    <w:rsid w:val="00282942"/>
    <w:rsid w:val="00295CC2"/>
    <w:rsid w:val="00295E59"/>
    <w:rsid w:val="0029665A"/>
    <w:rsid w:val="00296BC5"/>
    <w:rsid w:val="00297BB4"/>
    <w:rsid w:val="002A0E82"/>
    <w:rsid w:val="002A19DC"/>
    <w:rsid w:val="002A2F95"/>
    <w:rsid w:val="002A3222"/>
    <w:rsid w:val="002A60AA"/>
    <w:rsid w:val="002A6A13"/>
    <w:rsid w:val="002A6F82"/>
    <w:rsid w:val="002A76A2"/>
    <w:rsid w:val="002B3415"/>
    <w:rsid w:val="002B4698"/>
    <w:rsid w:val="002B5132"/>
    <w:rsid w:val="002B620D"/>
    <w:rsid w:val="002B650E"/>
    <w:rsid w:val="002C0668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B05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B71"/>
    <w:rsid w:val="00331330"/>
    <w:rsid w:val="00331EBD"/>
    <w:rsid w:val="0033216D"/>
    <w:rsid w:val="00333735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557D"/>
    <w:rsid w:val="0035625A"/>
    <w:rsid w:val="0035715B"/>
    <w:rsid w:val="00357225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5523"/>
    <w:rsid w:val="00376669"/>
    <w:rsid w:val="00377425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CC2"/>
    <w:rsid w:val="003A2DCC"/>
    <w:rsid w:val="003A3C32"/>
    <w:rsid w:val="003A487D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3752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421C"/>
    <w:rsid w:val="003F43D2"/>
    <w:rsid w:val="003F66B2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1F3D"/>
    <w:rsid w:val="0043250B"/>
    <w:rsid w:val="00432688"/>
    <w:rsid w:val="00432AF7"/>
    <w:rsid w:val="00433C71"/>
    <w:rsid w:val="00434C01"/>
    <w:rsid w:val="00434D91"/>
    <w:rsid w:val="00436428"/>
    <w:rsid w:val="0044110E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504A7"/>
    <w:rsid w:val="0045236C"/>
    <w:rsid w:val="00452C3B"/>
    <w:rsid w:val="004534E5"/>
    <w:rsid w:val="00453734"/>
    <w:rsid w:val="00454778"/>
    <w:rsid w:val="00454D4E"/>
    <w:rsid w:val="004550E9"/>
    <w:rsid w:val="0045607F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5397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95FC9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2E7B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E0D9B"/>
    <w:rsid w:val="004E16EE"/>
    <w:rsid w:val="004E2204"/>
    <w:rsid w:val="004E553F"/>
    <w:rsid w:val="004E6972"/>
    <w:rsid w:val="004E6B84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7F39"/>
    <w:rsid w:val="005102A9"/>
    <w:rsid w:val="00510650"/>
    <w:rsid w:val="0051068B"/>
    <w:rsid w:val="005119FB"/>
    <w:rsid w:val="00512CD4"/>
    <w:rsid w:val="005152EB"/>
    <w:rsid w:val="00515A70"/>
    <w:rsid w:val="00516083"/>
    <w:rsid w:val="00516ACB"/>
    <w:rsid w:val="00520168"/>
    <w:rsid w:val="005222B8"/>
    <w:rsid w:val="00524087"/>
    <w:rsid w:val="00524111"/>
    <w:rsid w:val="00525FB7"/>
    <w:rsid w:val="0052683D"/>
    <w:rsid w:val="0052716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5BAC"/>
    <w:rsid w:val="00557C25"/>
    <w:rsid w:val="005617FD"/>
    <w:rsid w:val="00561992"/>
    <w:rsid w:val="005622E5"/>
    <w:rsid w:val="00562D37"/>
    <w:rsid w:val="00563D67"/>
    <w:rsid w:val="00566EAC"/>
    <w:rsid w:val="00573DB3"/>
    <w:rsid w:val="00573F3C"/>
    <w:rsid w:val="00574548"/>
    <w:rsid w:val="00574A15"/>
    <w:rsid w:val="0057776E"/>
    <w:rsid w:val="00581A54"/>
    <w:rsid w:val="005829AC"/>
    <w:rsid w:val="005834E1"/>
    <w:rsid w:val="00583ADC"/>
    <w:rsid w:val="0058678A"/>
    <w:rsid w:val="00586C6C"/>
    <w:rsid w:val="005876DA"/>
    <w:rsid w:val="0058781B"/>
    <w:rsid w:val="00587F1A"/>
    <w:rsid w:val="00592F68"/>
    <w:rsid w:val="005934E0"/>
    <w:rsid w:val="005956ED"/>
    <w:rsid w:val="005957B7"/>
    <w:rsid w:val="00597DE4"/>
    <w:rsid w:val="00597ED3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9FB"/>
    <w:rsid w:val="005B5E20"/>
    <w:rsid w:val="005B7E0D"/>
    <w:rsid w:val="005C1198"/>
    <w:rsid w:val="005C16FD"/>
    <w:rsid w:val="005C1A8D"/>
    <w:rsid w:val="005C40B9"/>
    <w:rsid w:val="005C4F9B"/>
    <w:rsid w:val="005C6373"/>
    <w:rsid w:val="005D1687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8C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1A26"/>
    <w:rsid w:val="00642A85"/>
    <w:rsid w:val="00642D72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6E0"/>
    <w:rsid w:val="00672DC9"/>
    <w:rsid w:val="00674C4D"/>
    <w:rsid w:val="0067510C"/>
    <w:rsid w:val="0067629A"/>
    <w:rsid w:val="00682562"/>
    <w:rsid w:val="00691F24"/>
    <w:rsid w:val="00694383"/>
    <w:rsid w:val="00694E2E"/>
    <w:rsid w:val="006959B8"/>
    <w:rsid w:val="00696DA8"/>
    <w:rsid w:val="00697057"/>
    <w:rsid w:val="006A0384"/>
    <w:rsid w:val="006A0C2E"/>
    <w:rsid w:val="006A10A1"/>
    <w:rsid w:val="006A3BF6"/>
    <w:rsid w:val="006A4C22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919"/>
    <w:rsid w:val="006C5CAD"/>
    <w:rsid w:val="006C602E"/>
    <w:rsid w:val="006C63D0"/>
    <w:rsid w:val="006C7896"/>
    <w:rsid w:val="006C7C89"/>
    <w:rsid w:val="006D0682"/>
    <w:rsid w:val="006D0A5D"/>
    <w:rsid w:val="006D3DDD"/>
    <w:rsid w:val="006D511A"/>
    <w:rsid w:val="006D5DC5"/>
    <w:rsid w:val="006D732D"/>
    <w:rsid w:val="006E117C"/>
    <w:rsid w:val="006E3049"/>
    <w:rsid w:val="006E32F6"/>
    <w:rsid w:val="006E3B0F"/>
    <w:rsid w:val="006E5487"/>
    <w:rsid w:val="006E5816"/>
    <w:rsid w:val="006E6C7B"/>
    <w:rsid w:val="006E7FCE"/>
    <w:rsid w:val="006F223A"/>
    <w:rsid w:val="006F2CF4"/>
    <w:rsid w:val="006F338C"/>
    <w:rsid w:val="006F3EB9"/>
    <w:rsid w:val="006F4526"/>
    <w:rsid w:val="006F570B"/>
    <w:rsid w:val="006F6E09"/>
    <w:rsid w:val="006F799E"/>
    <w:rsid w:val="006F7AAF"/>
    <w:rsid w:val="00701B19"/>
    <w:rsid w:val="00702AC0"/>
    <w:rsid w:val="007039F9"/>
    <w:rsid w:val="00704CD0"/>
    <w:rsid w:val="00705246"/>
    <w:rsid w:val="0070561C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3D0"/>
    <w:rsid w:val="00737AF2"/>
    <w:rsid w:val="00737C11"/>
    <w:rsid w:val="0074047A"/>
    <w:rsid w:val="00742059"/>
    <w:rsid w:val="007447BF"/>
    <w:rsid w:val="00745B16"/>
    <w:rsid w:val="00746095"/>
    <w:rsid w:val="00746906"/>
    <w:rsid w:val="00747193"/>
    <w:rsid w:val="007502F7"/>
    <w:rsid w:val="007539AF"/>
    <w:rsid w:val="00753F64"/>
    <w:rsid w:val="00754551"/>
    <w:rsid w:val="00754C28"/>
    <w:rsid w:val="00756158"/>
    <w:rsid w:val="0075679C"/>
    <w:rsid w:val="007574E9"/>
    <w:rsid w:val="0076132D"/>
    <w:rsid w:val="00763FE0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407E"/>
    <w:rsid w:val="00794608"/>
    <w:rsid w:val="00794987"/>
    <w:rsid w:val="00794A99"/>
    <w:rsid w:val="00795922"/>
    <w:rsid w:val="00796B4B"/>
    <w:rsid w:val="00797984"/>
    <w:rsid w:val="007A0883"/>
    <w:rsid w:val="007A249F"/>
    <w:rsid w:val="007A2DB6"/>
    <w:rsid w:val="007A3617"/>
    <w:rsid w:val="007A4F59"/>
    <w:rsid w:val="007A68D4"/>
    <w:rsid w:val="007A7701"/>
    <w:rsid w:val="007B0B8B"/>
    <w:rsid w:val="007B0E95"/>
    <w:rsid w:val="007B1A69"/>
    <w:rsid w:val="007B20CE"/>
    <w:rsid w:val="007B4FEF"/>
    <w:rsid w:val="007B5486"/>
    <w:rsid w:val="007B5A19"/>
    <w:rsid w:val="007B7980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E7B"/>
    <w:rsid w:val="008309FA"/>
    <w:rsid w:val="00830D81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08E5"/>
    <w:rsid w:val="00844B02"/>
    <w:rsid w:val="008456E6"/>
    <w:rsid w:val="00850E7E"/>
    <w:rsid w:val="00850E8D"/>
    <w:rsid w:val="0085154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58F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124"/>
    <w:rsid w:val="00880341"/>
    <w:rsid w:val="0088101E"/>
    <w:rsid w:val="0088185B"/>
    <w:rsid w:val="00883177"/>
    <w:rsid w:val="00885380"/>
    <w:rsid w:val="00886694"/>
    <w:rsid w:val="00887739"/>
    <w:rsid w:val="00891868"/>
    <w:rsid w:val="008919BF"/>
    <w:rsid w:val="0089212F"/>
    <w:rsid w:val="00892B13"/>
    <w:rsid w:val="00892EE4"/>
    <w:rsid w:val="0089378A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5375"/>
    <w:rsid w:val="008A60B1"/>
    <w:rsid w:val="008A6426"/>
    <w:rsid w:val="008A6DA8"/>
    <w:rsid w:val="008A7260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C7A59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DF8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1A5"/>
    <w:rsid w:val="0098212A"/>
    <w:rsid w:val="00983EB3"/>
    <w:rsid w:val="00984010"/>
    <w:rsid w:val="00984B3D"/>
    <w:rsid w:val="00986079"/>
    <w:rsid w:val="00986CC7"/>
    <w:rsid w:val="009901D8"/>
    <w:rsid w:val="0099030B"/>
    <w:rsid w:val="009904E9"/>
    <w:rsid w:val="00991007"/>
    <w:rsid w:val="009911DE"/>
    <w:rsid w:val="00991303"/>
    <w:rsid w:val="009950EE"/>
    <w:rsid w:val="009A07B2"/>
    <w:rsid w:val="009A31F8"/>
    <w:rsid w:val="009A3286"/>
    <w:rsid w:val="009A3780"/>
    <w:rsid w:val="009A4249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1E54"/>
    <w:rsid w:val="009E215F"/>
    <w:rsid w:val="009E429F"/>
    <w:rsid w:val="009F0F55"/>
    <w:rsid w:val="009F1FEB"/>
    <w:rsid w:val="009F29F2"/>
    <w:rsid w:val="009F2F68"/>
    <w:rsid w:val="009F3148"/>
    <w:rsid w:val="009F5177"/>
    <w:rsid w:val="009F6490"/>
    <w:rsid w:val="009F6D21"/>
    <w:rsid w:val="009F6DE3"/>
    <w:rsid w:val="00A00B47"/>
    <w:rsid w:val="00A0394C"/>
    <w:rsid w:val="00A0396D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6E29"/>
    <w:rsid w:val="00A27E7C"/>
    <w:rsid w:val="00A308A4"/>
    <w:rsid w:val="00A31458"/>
    <w:rsid w:val="00A3162A"/>
    <w:rsid w:val="00A31F6F"/>
    <w:rsid w:val="00A3283B"/>
    <w:rsid w:val="00A3287B"/>
    <w:rsid w:val="00A34461"/>
    <w:rsid w:val="00A34D2B"/>
    <w:rsid w:val="00A354E1"/>
    <w:rsid w:val="00A36781"/>
    <w:rsid w:val="00A41A54"/>
    <w:rsid w:val="00A45D9F"/>
    <w:rsid w:val="00A47B00"/>
    <w:rsid w:val="00A51B84"/>
    <w:rsid w:val="00A5721E"/>
    <w:rsid w:val="00A576D6"/>
    <w:rsid w:val="00A57A78"/>
    <w:rsid w:val="00A64472"/>
    <w:rsid w:val="00A6589D"/>
    <w:rsid w:val="00A67013"/>
    <w:rsid w:val="00A672DC"/>
    <w:rsid w:val="00A71EEB"/>
    <w:rsid w:val="00A72FC9"/>
    <w:rsid w:val="00A7368D"/>
    <w:rsid w:val="00A738A5"/>
    <w:rsid w:val="00A73DB7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4A19"/>
    <w:rsid w:val="00A95410"/>
    <w:rsid w:val="00A9580A"/>
    <w:rsid w:val="00A97311"/>
    <w:rsid w:val="00A97D8A"/>
    <w:rsid w:val="00AA08A9"/>
    <w:rsid w:val="00AA0A45"/>
    <w:rsid w:val="00AA2D18"/>
    <w:rsid w:val="00AA379F"/>
    <w:rsid w:val="00AA4C8D"/>
    <w:rsid w:val="00AA53D7"/>
    <w:rsid w:val="00AA7C28"/>
    <w:rsid w:val="00AA7E57"/>
    <w:rsid w:val="00AA7F84"/>
    <w:rsid w:val="00AB089E"/>
    <w:rsid w:val="00AB090E"/>
    <w:rsid w:val="00AB27E1"/>
    <w:rsid w:val="00AB34DE"/>
    <w:rsid w:val="00AB40A9"/>
    <w:rsid w:val="00AB5BAD"/>
    <w:rsid w:val="00AB772C"/>
    <w:rsid w:val="00AB791D"/>
    <w:rsid w:val="00AB7A28"/>
    <w:rsid w:val="00AC01B1"/>
    <w:rsid w:val="00AC426C"/>
    <w:rsid w:val="00AC42EF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2CB8"/>
    <w:rsid w:val="00B0316F"/>
    <w:rsid w:val="00B0353F"/>
    <w:rsid w:val="00B050BD"/>
    <w:rsid w:val="00B06489"/>
    <w:rsid w:val="00B102E8"/>
    <w:rsid w:val="00B11CD0"/>
    <w:rsid w:val="00B1257F"/>
    <w:rsid w:val="00B131EB"/>
    <w:rsid w:val="00B14274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F98"/>
    <w:rsid w:val="00B260DF"/>
    <w:rsid w:val="00B26CD4"/>
    <w:rsid w:val="00B27B9F"/>
    <w:rsid w:val="00B303B7"/>
    <w:rsid w:val="00B326EB"/>
    <w:rsid w:val="00B337EB"/>
    <w:rsid w:val="00B3397E"/>
    <w:rsid w:val="00B36134"/>
    <w:rsid w:val="00B36F96"/>
    <w:rsid w:val="00B37B98"/>
    <w:rsid w:val="00B405AA"/>
    <w:rsid w:val="00B4085C"/>
    <w:rsid w:val="00B40DF0"/>
    <w:rsid w:val="00B4385E"/>
    <w:rsid w:val="00B45463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973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AB1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2C1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7699"/>
    <w:rsid w:val="00BC025C"/>
    <w:rsid w:val="00BC02B7"/>
    <w:rsid w:val="00BC0682"/>
    <w:rsid w:val="00BC0D35"/>
    <w:rsid w:val="00BC4838"/>
    <w:rsid w:val="00BC58C4"/>
    <w:rsid w:val="00BC5EC1"/>
    <w:rsid w:val="00BC60FB"/>
    <w:rsid w:val="00BD01FC"/>
    <w:rsid w:val="00BD3196"/>
    <w:rsid w:val="00BD5A28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7CD4"/>
    <w:rsid w:val="00C02E7B"/>
    <w:rsid w:val="00C06301"/>
    <w:rsid w:val="00C0700B"/>
    <w:rsid w:val="00C10805"/>
    <w:rsid w:val="00C115C0"/>
    <w:rsid w:val="00C1282E"/>
    <w:rsid w:val="00C1481D"/>
    <w:rsid w:val="00C14852"/>
    <w:rsid w:val="00C14B64"/>
    <w:rsid w:val="00C15372"/>
    <w:rsid w:val="00C16CE5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42B3"/>
    <w:rsid w:val="00C34858"/>
    <w:rsid w:val="00C34E0D"/>
    <w:rsid w:val="00C34E37"/>
    <w:rsid w:val="00C35779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578D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58B8"/>
    <w:rsid w:val="00CA6058"/>
    <w:rsid w:val="00CA730F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BE8"/>
    <w:rsid w:val="00CD3384"/>
    <w:rsid w:val="00CD6355"/>
    <w:rsid w:val="00CE0612"/>
    <w:rsid w:val="00CE15F7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701"/>
    <w:rsid w:val="00CF558D"/>
    <w:rsid w:val="00CF74E7"/>
    <w:rsid w:val="00CF7B28"/>
    <w:rsid w:val="00CF7DA4"/>
    <w:rsid w:val="00D00FCD"/>
    <w:rsid w:val="00D01984"/>
    <w:rsid w:val="00D02490"/>
    <w:rsid w:val="00D0263D"/>
    <w:rsid w:val="00D02EDB"/>
    <w:rsid w:val="00D05CB3"/>
    <w:rsid w:val="00D10F52"/>
    <w:rsid w:val="00D14A1D"/>
    <w:rsid w:val="00D16E79"/>
    <w:rsid w:val="00D17A36"/>
    <w:rsid w:val="00D2007C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38E4"/>
    <w:rsid w:val="00D5403A"/>
    <w:rsid w:val="00D568B7"/>
    <w:rsid w:val="00D57508"/>
    <w:rsid w:val="00D57F44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03F2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3F3C"/>
    <w:rsid w:val="00DC64A0"/>
    <w:rsid w:val="00DC784B"/>
    <w:rsid w:val="00DD1406"/>
    <w:rsid w:val="00DD1858"/>
    <w:rsid w:val="00DD1BB2"/>
    <w:rsid w:val="00DD42EC"/>
    <w:rsid w:val="00DD4D60"/>
    <w:rsid w:val="00DD7FDA"/>
    <w:rsid w:val="00DE01BE"/>
    <w:rsid w:val="00DE056B"/>
    <w:rsid w:val="00DE1563"/>
    <w:rsid w:val="00DE1DF1"/>
    <w:rsid w:val="00DE2062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AC"/>
    <w:rsid w:val="00E01A5A"/>
    <w:rsid w:val="00E0544C"/>
    <w:rsid w:val="00E076B8"/>
    <w:rsid w:val="00E077CA"/>
    <w:rsid w:val="00E10E7E"/>
    <w:rsid w:val="00E11DDA"/>
    <w:rsid w:val="00E12B61"/>
    <w:rsid w:val="00E14195"/>
    <w:rsid w:val="00E167B7"/>
    <w:rsid w:val="00E167D5"/>
    <w:rsid w:val="00E16E5C"/>
    <w:rsid w:val="00E17D0C"/>
    <w:rsid w:val="00E221B3"/>
    <w:rsid w:val="00E2243A"/>
    <w:rsid w:val="00E22F71"/>
    <w:rsid w:val="00E23828"/>
    <w:rsid w:val="00E2397D"/>
    <w:rsid w:val="00E24CBB"/>
    <w:rsid w:val="00E25287"/>
    <w:rsid w:val="00E25698"/>
    <w:rsid w:val="00E33EE3"/>
    <w:rsid w:val="00E35385"/>
    <w:rsid w:val="00E36648"/>
    <w:rsid w:val="00E37ED9"/>
    <w:rsid w:val="00E41051"/>
    <w:rsid w:val="00E41B61"/>
    <w:rsid w:val="00E42140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672AA"/>
    <w:rsid w:val="00E703F1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87ACB"/>
    <w:rsid w:val="00E908E1"/>
    <w:rsid w:val="00E90EEE"/>
    <w:rsid w:val="00E90F81"/>
    <w:rsid w:val="00E91135"/>
    <w:rsid w:val="00E91DE7"/>
    <w:rsid w:val="00E92FC3"/>
    <w:rsid w:val="00E95068"/>
    <w:rsid w:val="00E95272"/>
    <w:rsid w:val="00E95478"/>
    <w:rsid w:val="00E96B50"/>
    <w:rsid w:val="00EA0EAF"/>
    <w:rsid w:val="00EA1435"/>
    <w:rsid w:val="00EA1FF4"/>
    <w:rsid w:val="00EA2281"/>
    <w:rsid w:val="00EA2531"/>
    <w:rsid w:val="00EA2953"/>
    <w:rsid w:val="00EA54F2"/>
    <w:rsid w:val="00EA6A71"/>
    <w:rsid w:val="00EA7581"/>
    <w:rsid w:val="00EA7BB4"/>
    <w:rsid w:val="00EB0AFE"/>
    <w:rsid w:val="00EB2047"/>
    <w:rsid w:val="00EB4BD3"/>
    <w:rsid w:val="00EB6120"/>
    <w:rsid w:val="00EC103E"/>
    <w:rsid w:val="00EC2410"/>
    <w:rsid w:val="00EC34C3"/>
    <w:rsid w:val="00EC352C"/>
    <w:rsid w:val="00EC412E"/>
    <w:rsid w:val="00ED10CD"/>
    <w:rsid w:val="00ED30C2"/>
    <w:rsid w:val="00ED3CAE"/>
    <w:rsid w:val="00ED4F28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73F2"/>
    <w:rsid w:val="00F475FC"/>
    <w:rsid w:val="00F47F64"/>
    <w:rsid w:val="00F50B5D"/>
    <w:rsid w:val="00F55F11"/>
    <w:rsid w:val="00F611ED"/>
    <w:rsid w:val="00F61EE1"/>
    <w:rsid w:val="00F632CF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7CB0"/>
    <w:rsid w:val="00F77D51"/>
    <w:rsid w:val="00F8035B"/>
    <w:rsid w:val="00F8092E"/>
    <w:rsid w:val="00F82185"/>
    <w:rsid w:val="00F8341C"/>
    <w:rsid w:val="00F839D1"/>
    <w:rsid w:val="00F83AC3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B6E09"/>
    <w:rsid w:val="00FC09B0"/>
    <w:rsid w:val="00FC0DB1"/>
    <w:rsid w:val="00FC1C60"/>
    <w:rsid w:val="00FC2200"/>
    <w:rsid w:val="00FC25C4"/>
    <w:rsid w:val="00FC28E3"/>
    <w:rsid w:val="00FC52F8"/>
    <w:rsid w:val="00FC59F5"/>
    <w:rsid w:val="00FC5D79"/>
    <w:rsid w:val="00FC695F"/>
    <w:rsid w:val="00FC775C"/>
    <w:rsid w:val="00FC7C16"/>
    <w:rsid w:val="00FD045E"/>
    <w:rsid w:val="00FD2019"/>
    <w:rsid w:val="00FD5F3F"/>
    <w:rsid w:val="00FD7F90"/>
    <w:rsid w:val="00FE1D3A"/>
    <w:rsid w:val="00FE2392"/>
    <w:rsid w:val="00FE3063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paragraph" w:customStyle="1" w:styleId="xxxxmsonormal">
    <w:name w:val="x_x_x_x_msonormal"/>
    <w:basedOn w:val="Normale"/>
    <w:rsid w:val="007A2DB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uiPriority w:val="99"/>
    <w:rsid w:val="00DE206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elementtoproof">
    <w:name w:val="x_elementtoproof"/>
    <w:basedOn w:val="Normale"/>
    <w:uiPriority w:val="99"/>
    <w:rsid w:val="00DE206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xelementtoproof">
    <w:name w:val="x_x_elementtoproof"/>
    <w:basedOn w:val="Normale"/>
    <w:uiPriority w:val="99"/>
    <w:semiHidden/>
    <w:rsid w:val="00CA730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uiPriority w:val="99"/>
    <w:semiHidden/>
    <w:rsid w:val="009E429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d324d088-d886-4379-bda8-da8a8df3f385" TargetMode="External"/><Relationship Id="rId18" Type="http://schemas.openxmlformats.org/officeDocument/2006/relationships/hyperlink" Target="mailto:beatrice.cagnoni@bc-communication.i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5bbb2392-bf6a-43bc-afb2-11e1319e835b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686e3512-7cac-4439-baa6-9eecd5a56d0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ff866a99-d668-4a4c-9c91-d8f87b710bf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federica.guerrini@bc-communication.it" TargetMode="External"/><Relationship Id="rId4" Type="http://schemas.openxmlformats.org/officeDocument/2006/relationships/settings" Target="settings.xml"/><Relationship Id="rId9" Type="http://schemas.openxmlformats.org/officeDocument/2006/relationships/image" Target="cid:c45df9e5-5177-4656-8693-a66c556a459d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Federica Guerrini</cp:lastModifiedBy>
  <cp:revision>6</cp:revision>
  <cp:lastPrinted>2021-10-28T14:14:00Z</cp:lastPrinted>
  <dcterms:created xsi:type="dcterms:W3CDTF">2022-09-22T12:37:00Z</dcterms:created>
  <dcterms:modified xsi:type="dcterms:W3CDTF">2022-11-23T11:11:00Z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