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A0F9" w14:textId="6B67FFF7" w:rsidR="00363207" w:rsidRPr="00584066" w:rsidRDefault="00584066" w:rsidP="009E5B74">
      <w:pPr>
        <w:ind w:right="142"/>
        <w:rPr>
          <w:rFonts w:ascii="Karbon Medium" w:eastAsia="Karbon Medium" w:hAnsi="Karbon Medium" w:cs="Karbon Medium"/>
          <w:color w:val="47D1F0"/>
          <w:sz w:val="20"/>
          <w:szCs w:val="20"/>
          <w:u w:val="single"/>
          <w:lang w:val="it-IT"/>
        </w:rPr>
      </w:pPr>
      <w:r w:rsidRPr="00584066">
        <w:rPr>
          <w:rFonts w:ascii="Karbon Medium" w:eastAsia="Karbon Medium" w:hAnsi="Karbon Medium" w:cs="Karbon Medium"/>
          <w:color w:val="47D1F0"/>
          <w:sz w:val="20"/>
          <w:szCs w:val="20"/>
          <w:lang w:val="it-IT"/>
        </w:rPr>
        <w:t>COMUNICATO STAMPA</w:t>
      </w:r>
    </w:p>
    <w:p w14:paraId="168B2E1D" w14:textId="116DF739" w:rsidR="00E27434" w:rsidRPr="004119F8" w:rsidRDefault="00E27434" w:rsidP="009E5B74">
      <w:pPr>
        <w:ind w:right="142"/>
        <w:rPr>
          <w:rFonts w:ascii="Karbon Semibold" w:hAnsi="Karbon Semibold"/>
          <w:b/>
          <w:bCs/>
          <w:color w:val="004F73"/>
          <w:sz w:val="36"/>
          <w:szCs w:val="36"/>
          <w:lang w:val="it-IT"/>
        </w:rPr>
      </w:pPr>
      <w:r w:rsidRPr="00E27434">
        <w:rPr>
          <w:rFonts w:ascii="Karbon Semibold" w:hAnsi="Karbon Semibold"/>
          <w:b/>
          <w:bCs/>
          <w:color w:val="004F73"/>
          <w:sz w:val="36"/>
          <w:szCs w:val="36"/>
          <w:lang w:val="it-IT"/>
        </w:rPr>
        <w:t xml:space="preserve">Gardant è </w:t>
      </w:r>
      <w:r w:rsidRPr="00E27434">
        <w:rPr>
          <w:rFonts w:ascii="Karbon Semibold" w:hAnsi="Karbon Semibold"/>
          <w:b/>
          <w:bCs/>
          <w:i/>
          <w:iCs/>
          <w:color w:val="004F73"/>
          <w:sz w:val="36"/>
          <w:szCs w:val="36"/>
          <w:lang w:val="it-IT"/>
        </w:rPr>
        <w:t>Servicer</w:t>
      </w:r>
      <w:r w:rsidRPr="00E27434">
        <w:rPr>
          <w:rFonts w:ascii="Karbon Semibold" w:hAnsi="Karbon Semibold"/>
          <w:b/>
          <w:bCs/>
          <w:color w:val="004F73"/>
          <w:sz w:val="36"/>
          <w:szCs w:val="36"/>
          <w:lang w:val="it-IT"/>
        </w:rPr>
        <w:t xml:space="preserve"> nella seconda </w:t>
      </w:r>
      <w:r w:rsidR="004119F8" w:rsidRPr="002D11B0">
        <w:rPr>
          <w:rFonts w:ascii="Karbon Semibold" w:hAnsi="Karbon Semibold"/>
          <w:b/>
          <w:bCs/>
          <w:color w:val="004F73"/>
          <w:sz w:val="36"/>
          <w:szCs w:val="36"/>
          <w:lang w:val="it-IT"/>
        </w:rPr>
        <w:t>tranche da 25 milioni di euro</w:t>
      </w:r>
      <w:r w:rsidR="004119F8">
        <w:rPr>
          <w:rFonts w:ascii="Karbon Semibold" w:hAnsi="Karbon Semibold"/>
          <w:b/>
          <w:bCs/>
          <w:color w:val="004F73"/>
          <w:sz w:val="36"/>
          <w:szCs w:val="36"/>
          <w:lang w:val="it-IT"/>
        </w:rPr>
        <w:t xml:space="preserve"> </w:t>
      </w:r>
      <w:r w:rsidR="004119F8" w:rsidRPr="002D11B0">
        <w:rPr>
          <w:rFonts w:ascii="Karbon Semibold" w:hAnsi="Karbon Semibold"/>
          <w:b/>
          <w:bCs/>
          <w:color w:val="004F73"/>
          <w:sz w:val="36"/>
          <w:szCs w:val="36"/>
          <w:lang w:val="it-IT"/>
        </w:rPr>
        <w:t>di basket bond</w:t>
      </w:r>
      <w:r w:rsidR="006D1A88">
        <w:rPr>
          <w:rFonts w:ascii="Karbon Semibold" w:hAnsi="Karbon Semibold"/>
          <w:b/>
          <w:bCs/>
          <w:color w:val="004F73"/>
          <w:sz w:val="36"/>
          <w:szCs w:val="36"/>
          <w:lang w:val="it-IT"/>
        </w:rPr>
        <w:t xml:space="preserve"> </w:t>
      </w:r>
    </w:p>
    <w:p w14:paraId="110E1642" w14:textId="2A2C2F30" w:rsidR="00E27434" w:rsidRPr="00E27434" w:rsidRDefault="00E27434" w:rsidP="00E27434">
      <w:pPr>
        <w:ind w:right="142"/>
        <w:rPr>
          <w:rFonts w:ascii="Karbon Regular" w:hAnsi="Karbon Regular"/>
          <w:color w:val="47D1F0"/>
          <w:sz w:val="28"/>
          <w:szCs w:val="28"/>
          <w:lang w:val="it-IT"/>
        </w:rPr>
      </w:pPr>
      <w:r w:rsidRPr="00E27434">
        <w:rPr>
          <w:rFonts w:ascii="Karbon Regular" w:hAnsi="Karbon Regular"/>
          <w:color w:val="47D1F0"/>
          <w:sz w:val="28"/>
          <w:szCs w:val="28"/>
          <w:lang w:val="it-IT"/>
        </w:rPr>
        <w:t>L’operazione rientra nell’ambito del piano triennale di basket bond da 100 milioni di Euro lanciato da Cassa Depositi e Prestiti</w:t>
      </w:r>
      <w:r w:rsidR="003E53D2">
        <w:rPr>
          <w:rFonts w:ascii="Karbon Regular" w:hAnsi="Karbon Regular"/>
          <w:color w:val="47D1F0"/>
          <w:sz w:val="28"/>
          <w:szCs w:val="28"/>
          <w:lang w:val="it-IT"/>
        </w:rPr>
        <w:t>,</w:t>
      </w:r>
      <w:r w:rsidRPr="00E27434">
        <w:rPr>
          <w:rFonts w:ascii="Karbon Regular" w:hAnsi="Karbon Regular"/>
          <w:color w:val="47D1F0"/>
          <w:sz w:val="28"/>
          <w:szCs w:val="28"/>
          <w:lang w:val="it-IT"/>
        </w:rPr>
        <w:t xml:space="preserve"> Medio Credito Centrale</w:t>
      </w:r>
      <w:r w:rsidR="003E53D2">
        <w:rPr>
          <w:rFonts w:ascii="Karbon Regular" w:hAnsi="Karbon Regular"/>
          <w:color w:val="47D1F0"/>
          <w:sz w:val="28"/>
          <w:szCs w:val="28"/>
          <w:lang w:val="it-IT"/>
        </w:rPr>
        <w:t xml:space="preserve"> e </w:t>
      </w:r>
      <w:r w:rsidR="003E53D2" w:rsidRPr="00E27434">
        <w:rPr>
          <w:rFonts w:ascii="Karbon Regular" w:hAnsi="Karbon Regular"/>
          <w:color w:val="47D1F0"/>
          <w:sz w:val="28"/>
          <w:szCs w:val="28"/>
          <w:lang w:val="it-IT"/>
        </w:rPr>
        <w:t>Sella</w:t>
      </w:r>
      <w:r w:rsidRPr="00E27434">
        <w:rPr>
          <w:rFonts w:ascii="Karbon Regular" w:hAnsi="Karbon Regular"/>
          <w:color w:val="47D1F0"/>
          <w:sz w:val="28"/>
          <w:szCs w:val="28"/>
          <w:lang w:val="it-IT"/>
        </w:rPr>
        <w:t xml:space="preserve">, per supportare le PMI italiane. </w:t>
      </w:r>
    </w:p>
    <w:p w14:paraId="57ACD58C" w14:textId="77777777" w:rsidR="00E27434" w:rsidRPr="0058147D" w:rsidRDefault="00E27434" w:rsidP="00B87035">
      <w:pPr>
        <w:ind w:right="142"/>
        <w:rPr>
          <w:rFonts w:ascii="Karbon Regular" w:hAnsi="Karbon Regular"/>
          <w:color w:val="47D1F0"/>
          <w:sz w:val="28"/>
          <w:szCs w:val="28"/>
          <w:lang w:val="it-IT"/>
        </w:rPr>
      </w:pPr>
    </w:p>
    <w:p w14:paraId="6BAF6AB7" w14:textId="3FFDB8DF" w:rsidR="00891036" w:rsidRPr="0058147D" w:rsidRDefault="00C82EE5" w:rsidP="00E27434">
      <w:pPr>
        <w:ind w:right="142"/>
        <w:rPr>
          <w:rFonts w:ascii="Karbon Regular" w:eastAsia="Karbon Regular" w:hAnsi="Karbon Regular" w:cs="Karbon Regular"/>
          <w:i/>
          <w:lang w:val="it-IT"/>
        </w:rPr>
      </w:pPr>
      <w:r w:rsidRPr="007E1E3B">
        <w:rPr>
          <w:rFonts w:ascii="Karbon Regular" w:eastAsia="Karbon Regular" w:hAnsi="Karbon Regular" w:cs="Karbon Regular"/>
          <w:i/>
          <w:lang w:val="it-IT"/>
        </w:rPr>
        <w:t>Rom</w:t>
      </w:r>
      <w:r w:rsidR="00584066" w:rsidRPr="007E1E3B">
        <w:rPr>
          <w:rFonts w:ascii="Karbon Regular" w:eastAsia="Karbon Regular" w:hAnsi="Karbon Regular" w:cs="Karbon Regular"/>
          <w:i/>
          <w:lang w:val="it-IT"/>
        </w:rPr>
        <w:t>a</w:t>
      </w:r>
      <w:r w:rsidRPr="007E1E3B">
        <w:rPr>
          <w:rFonts w:ascii="Karbon Regular" w:eastAsia="Karbon Regular" w:hAnsi="Karbon Regular" w:cs="Karbon Regular"/>
          <w:i/>
          <w:lang w:val="it-IT"/>
        </w:rPr>
        <w:t xml:space="preserve">, </w:t>
      </w:r>
      <w:r w:rsidR="00800A80">
        <w:rPr>
          <w:rFonts w:ascii="Karbon Regular" w:eastAsia="Karbon Regular" w:hAnsi="Karbon Regular" w:cs="Karbon Regular"/>
          <w:i/>
          <w:lang w:val="it-IT"/>
        </w:rPr>
        <w:t xml:space="preserve">8 </w:t>
      </w:r>
      <w:r w:rsidR="00E27434">
        <w:rPr>
          <w:rFonts w:ascii="Karbon Regular" w:eastAsia="Karbon Regular" w:hAnsi="Karbon Regular" w:cs="Karbon Regular"/>
          <w:i/>
          <w:lang w:val="it-IT"/>
        </w:rPr>
        <w:t>settembre</w:t>
      </w:r>
      <w:r w:rsidRPr="007E1E3B">
        <w:rPr>
          <w:rFonts w:ascii="Karbon Regular" w:eastAsia="Karbon Regular" w:hAnsi="Karbon Regular" w:cs="Karbon Regular"/>
          <w:i/>
          <w:lang w:val="it-IT"/>
        </w:rPr>
        <w:t xml:space="preserve"> 202</w:t>
      </w:r>
      <w:r w:rsidR="00ED4555" w:rsidRPr="007E1E3B">
        <w:rPr>
          <w:rFonts w:ascii="Karbon Regular" w:eastAsia="Karbon Regular" w:hAnsi="Karbon Regular" w:cs="Karbon Regular"/>
          <w:i/>
          <w:lang w:val="it-IT"/>
        </w:rPr>
        <w:t>2</w:t>
      </w:r>
    </w:p>
    <w:p w14:paraId="7700E9B2" w14:textId="66267464" w:rsidR="00E27434" w:rsidRDefault="00A6793A" w:rsidP="00E27434">
      <w:pPr>
        <w:ind w:right="142"/>
        <w:rPr>
          <w:rFonts w:ascii="Karbon Regular" w:hAnsi="Karbon Regular"/>
          <w:lang w:val="it-IT"/>
        </w:rPr>
      </w:pPr>
      <w:r w:rsidRPr="008A6AA9">
        <w:rPr>
          <w:rFonts w:ascii="Karbon Regular" w:hAnsi="Karbon Regular"/>
          <w:b/>
          <w:bCs/>
          <w:lang w:val="it-IT"/>
        </w:rPr>
        <w:t>Gardant</w:t>
      </w:r>
      <w:r w:rsidR="00E27434">
        <w:rPr>
          <w:rFonts w:ascii="Karbon Regular" w:hAnsi="Karbon Regular"/>
          <w:b/>
          <w:bCs/>
          <w:lang w:val="it-IT"/>
        </w:rPr>
        <w:t xml:space="preserve"> </w:t>
      </w:r>
      <w:r w:rsidR="00E27434" w:rsidRPr="00E27434">
        <w:rPr>
          <w:rFonts w:ascii="Karbon Regular" w:hAnsi="Karbon Regular"/>
          <w:lang w:val="it-IT"/>
        </w:rPr>
        <w:t xml:space="preserve">– operatore leader di mercato in Italia nel settore del credit management sia come servicer sia come investitore, con oltre Euro </w:t>
      </w:r>
      <w:r w:rsidR="00BA4BC9">
        <w:rPr>
          <w:rFonts w:ascii="Karbon Regular" w:hAnsi="Karbon Regular"/>
          <w:lang w:val="it-IT"/>
        </w:rPr>
        <w:t>44</w:t>
      </w:r>
      <w:r w:rsidR="00E27434" w:rsidRPr="00E27434">
        <w:rPr>
          <w:rFonts w:ascii="Karbon Regular" w:hAnsi="Karbon Regular"/>
          <w:lang w:val="it-IT"/>
        </w:rPr>
        <w:t xml:space="preserve"> miliardi (GBV) in gestione e focus primario su PMI e corporate – nel</w:t>
      </w:r>
      <w:bookmarkStart w:id="0" w:name="_Hlk87632831"/>
      <w:r w:rsidR="00E27434" w:rsidRPr="00E27434">
        <w:rPr>
          <w:rFonts w:ascii="Karbon Regular" w:hAnsi="Karbon Regular"/>
          <w:lang w:val="it-IT"/>
        </w:rPr>
        <w:t>l’ambito del programma triennale di basket bond da 100 milioni</w:t>
      </w:r>
      <w:r w:rsidR="004119F8">
        <w:rPr>
          <w:rFonts w:ascii="Karbon Regular" w:hAnsi="Karbon Regular"/>
          <w:lang w:val="it-IT"/>
        </w:rPr>
        <w:t xml:space="preserve"> di Euro</w:t>
      </w:r>
      <w:r w:rsidR="00E27434" w:rsidRPr="00E27434">
        <w:rPr>
          <w:rFonts w:ascii="Karbon Regular" w:hAnsi="Karbon Regular"/>
          <w:lang w:val="it-IT"/>
        </w:rPr>
        <w:t>, destinato a finanziare i progetti di crescita delle PMI italiane e rafforzarne il posizionamento competitivo a livello internazionale</w:t>
      </w:r>
      <w:bookmarkEnd w:id="0"/>
      <w:r w:rsidR="00E27434" w:rsidRPr="00E27434">
        <w:rPr>
          <w:rFonts w:ascii="Karbon Regular" w:hAnsi="Karbon Regular"/>
          <w:lang w:val="it-IT"/>
        </w:rPr>
        <w:t xml:space="preserve"> ha operato come </w:t>
      </w:r>
      <w:r w:rsidR="00E27434" w:rsidRPr="00E27434">
        <w:rPr>
          <w:rFonts w:ascii="Karbon Regular" w:hAnsi="Karbon Regular"/>
          <w:i/>
          <w:iCs/>
          <w:lang w:val="it-IT"/>
        </w:rPr>
        <w:t>Servicer, corporate servicer, calculation agent, paying agent, monitoring agent e representative of the noteholders</w:t>
      </w:r>
      <w:r w:rsidR="00E27434" w:rsidRPr="00E27434">
        <w:rPr>
          <w:rFonts w:ascii="Karbon Regular" w:hAnsi="Karbon Regular"/>
          <w:lang w:val="it-IT"/>
        </w:rPr>
        <w:t xml:space="preserve"> anche nella seconda emissione per complessivi 25 milioni di Euro.</w:t>
      </w:r>
    </w:p>
    <w:p w14:paraId="41319FB3" w14:textId="0FEE48FE" w:rsidR="00E27434" w:rsidRPr="00E27434" w:rsidRDefault="00E27434" w:rsidP="00E27434">
      <w:pPr>
        <w:ind w:right="142"/>
        <w:rPr>
          <w:rFonts w:ascii="Karbon Regular" w:hAnsi="Karbon Regular"/>
          <w:lang w:val="it-IT"/>
        </w:rPr>
      </w:pPr>
      <w:r w:rsidRPr="00E27434">
        <w:rPr>
          <w:rFonts w:ascii="Karbon Regular" w:hAnsi="Karbon Regular"/>
          <w:lang w:val="it-IT"/>
        </w:rPr>
        <w:t xml:space="preserve">Il piano triennale è promosso da </w:t>
      </w:r>
      <w:r w:rsidRPr="00E27434">
        <w:rPr>
          <w:rFonts w:ascii="Karbon Regular" w:hAnsi="Karbon Regular"/>
          <w:b/>
          <w:bCs/>
          <w:lang w:val="it-IT"/>
        </w:rPr>
        <w:t>Sella</w:t>
      </w:r>
      <w:r w:rsidRPr="00E27434">
        <w:rPr>
          <w:rFonts w:ascii="Karbon Regular" w:hAnsi="Karbon Regular"/>
          <w:lang w:val="it-IT"/>
        </w:rPr>
        <w:t xml:space="preserve"> – in qualità di arranger tramite la divisione Corporate &amp; Investment Banking – </w:t>
      </w:r>
      <w:r w:rsidRPr="00E27434">
        <w:rPr>
          <w:rFonts w:ascii="Karbon Regular" w:hAnsi="Karbon Regular"/>
          <w:b/>
          <w:bCs/>
          <w:lang w:val="it-IT"/>
        </w:rPr>
        <w:t>Cassa Depositi e Prestiti</w:t>
      </w:r>
      <w:r w:rsidRPr="00E27434">
        <w:rPr>
          <w:rFonts w:ascii="Karbon Regular" w:hAnsi="Karbon Regular"/>
          <w:lang w:val="it-IT"/>
        </w:rPr>
        <w:t xml:space="preserve"> e </w:t>
      </w:r>
      <w:r w:rsidRPr="00E27434">
        <w:rPr>
          <w:rFonts w:ascii="Karbon Regular" w:hAnsi="Karbon Regular"/>
          <w:b/>
          <w:bCs/>
          <w:lang w:val="it-IT"/>
        </w:rPr>
        <w:t>Medio Credito Centrale</w:t>
      </w:r>
      <w:r w:rsidRPr="00E27434">
        <w:rPr>
          <w:rFonts w:ascii="Karbon Regular" w:hAnsi="Karbon Regular"/>
          <w:lang w:val="it-IT"/>
        </w:rPr>
        <w:t>, che agiscono come </w:t>
      </w:r>
      <w:r w:rsidRPr="00E27434">
        <w:rPr>
          <w:rFonts w:ascii="Karbon Regular" w:hAnsi="Karbon Regular"/>
          <w:i/>
          <w:iCs/>
          <w:lang w:val="it-IT"/>
        </w:rPr>
        <w:t>anchor investor</w:t>
      </w:r>
      <w:r w:rsidRPr="00E27434">
        <w:rPr>
          <w:rFonts w:ascii="Karbon Regular" w:hAnsi="Karbon Regular"/>
          <w:lang w:val="it-IT"/>
        </w:rPr>
        <w:t>, sottoscrivendo ciascuna il 40% delle emissioni, mentre Banca Sella sottoscrive il restante 20%.</w:t>
      </w:r>
    </w:p>
    <w:p w14:paraId="27C8672D" w14:textId="363E8C73" w:rsidR="00E27434" w:rsidRPr="00E27434" w:rsidRDefault="00E27434" w:rsidP="00E27434">
      <w:pPr>
        <w:ind w:right="142"/>
        <w:rPr>
          <w:rFonts w:ascii="Karbon Regular" w:hAnsi="Karbon Regular"/>
          <w:lang w:val="it-IT"/>
        </w:rPr>
      </w:pPr>
      <w:r w:rsidRPr="00E27434">
        <w:rPr>
          <w:rFonts w:ascii="Karbon Regular" w:hAnsi="Karbon Regular"/>
          <w:lang w:val="it-IT"/>
        </w:rPr>
        <w:t xml:space="preserve">Gardant in qualità di </w:t>
      </w:r>
      <w:r w:rsidRPr="00E27434">
        <w:rPr>
          <w:rFonts w:ascii="Karbon Regular" w:hAnsi="Karbon Regular"/>
          <w:i/>
          <w:iCs/>
          <w:lang w:val="it-IT"/>
        </w:rPr>
        <w:t>Servicer</w:t>
      </w:r>
      <w:r w:rsidRPr="00E27434">
        <w:rPr>
          <w:rFonts w:ascii="Karbon Regular" w:hAnsi="Karbon Regular"/>
          <w:lang w:val="it-IT"/>
        </w:rPr>
        <w:t xml:space="preserve"> ha contribuito alla sottoscrizione da parte del veicolo di cartolarizzazione SBB SPV di tre ulteriori minibond per un valore complessivo di 25 milioni di Euro</w:t>
      </w:r>
      <w:r w:rsidR="00766A17">
        <w:rPr>
          <w:rFonts w:ascii="Karbon Regular" w:hAnsi="Karbon Regular"/>
          <w:lang w:val="it-IT"/>
        </w:rPr>
        <w:t>,</w:t>
      </w:r>
      <w:r w:rsidRPr="00E27434">
        <w:rPr>
          <w:rFonts w:ascii="Karbon Regular" w:hAnsi="Karbon Regular"/>
          <w:lang w:val="it-IT"/>
        </w:rPr>
        <w:t xml:space="preserve"> due da 10 milioni e uno da 5 milioni di Euro, i quali </w:t>
      </w:r>
      <w:r w:rsidR="002D11B0">
        <w:rPr>
          <w:rFonts w:ascii="Karbon Regular" w:hAnsi="Karbon Regular"/>
          <w:lang w:val="it-IT"/>
        </w:rPr>
        <w:t>sono</w:t>
      </w:r>
      <w:r w:rsidR="002D11B0" w:rsidRPr="00E27434">
        <w:rPr>
          <w:rFonts w:ascii="Karbon Regular" w:hAnsi="Karbon Regular"/>
          <w:lang w:val="it-IT"/>
        </w:rPr>
        <w:t xml:space="preserve"> </w:t>
      </w:r>
      <w:r w:rsidRPr="00E27434">
        <w:rPr>
          <w:rFonts w:ascii="Karbon Regular" w:hAnsi="Karbon Regular"/>
          <w:lang w:val="it-IT"/>
        </w:rPr>
        <w:t>quotati sull’ExtraMOT PRO3.</w:t>
      </w:r>
    </w:p>
    <w:p w14:paraId="4E2AF852" w14:textId="62595999" w:rsidR="00E27434" w:rsidRPr="00E27434" w:rsidRDefault="00E27434" w:rsidP="00E27434">
      <w:pPr>
        <w:ind w:right="142"/>
        <w:rPr>
          <w:rFonts w:ascii="Karbon Regular" w:hAnsi="Karbon Regular"/>
          <w:lang w:val="it-IT"/>
        </w:rPr>
      </w:pPr>
      <w:r w:rsidRPr="00E27434">
        <w:rPr>
          <w:rFonts w:ascii="Karbon Regular" w:hAnsi="Karbon Regular"/>
          <w:lang w:val="it-IT"/>
        </w:rPr>
        <w:t xml:space="preserve">Tali emissioni permetteranno alle società di </w:t>
      </w:r>
      <w:r w:rsidR="002D11B0" w:rsidRPr="002D11B0">
        <w:rPr>
          <w:rFonts w:ascii="Karbon Regular" w:hAnsi="Karbon Regular"/>
          <w:lang w:val="it-IT"/>
        </w:rPr>
        <w:t>sostenere i rispettivi piani di investimento e sviluppo in Italia e all’estero</w:t>
      </w:r>
      <w:r w:rsidRPr="00E27434">
        <w:rPr>
          <w:rFonts w:ascii="Karbon Regular" w:hAnsi="Karbon Regular"/>
          <w:lang w:val="it-IT"/>
        </w:rPr>
        <w:t>.</w:t>
      </w:r>
    </w:p>
    <w:p w14:paraId="61854CDC" w14:textId="03844D2C" w:rsidR="00E27434" w:rsidRPr="00E27434" w:rsidRDefault="00E27434" w:rsidP="00E27434">
      <w:pPr>
        <w:ind w:right="142"/>
        <w:rPr>
          <w:rFonts w:ascii="Karbon Regular" w:hAnsi="Karbon Regular"/>
          <w:lang w:val="it-IT"/>
        </w:rPr>
      </w:pPr>
      <w:r w:rsidRPr="00E27434">
        <w:rPr>
          <w:rFonts w:ascii="Karbon Regular" w:hAnsi="Karbon Regular"/>
          <w:lang w:val="it-IT"/>
        </w:rPr>
        <w:t xml:space="preserve">Le società emittenti operano rispettivamente nel settore </w:t>
      </w:r>
      <w:r w:rsidR="00534536">
        <w:rPr>
          <w:rFonts w:ascii="Karbon Regular" w:hAnsi="Karbon Regular"/>
          <w:lang w:val="it-IT"/>
        </w:rPr>
        <w:t xml:space="preserve">della </w:t>
      </w:r>
      <w:r w:rsidR="00534536" w:rsidRPr="00E27434">
        <w:rPr>
          <w:rFonts w:ascii="Karbon Regular" w:hAnsi="Karbon Regular"/>
          <w:lang w:val="it-IT"/>
        </w:rPr>
        <w:t xml:space="preserve">produzione e commercializzazione di prodotti per la cura del capello e della cosmetica in generale, </w:t>
      </w:r>
      <w:r w:rsidR="00A25B76">
        <w:rPr>
          <w:rFonts w:ascii="Karbon Regular" w:hAnsi="Karbon Regular"/>
          <w:lang w:val="it-IT"/>
        </w:rPr>
        <w:t xml:space="preserve">della </w:t>
      </w:r>
      <w:r w:rsidR="00534536" w:rsidRPr="00E27434">
        <w:rPr>
          <w:rFonts w:ascii="Karbon Regular" w:hAnsi="Karbon Regular"/>
          <w:lang w:val="it-IT"/>
        </w:rPr>
        <w:t xml:space="preserve">produzione di componenti per l’arredamento e ricambi per cucine e </w:t>
      </w:r>
      <w:r w:rsidRPr="00E27434">
        <w:rPr>
          <w:rFonts w:ascii="Karbon Regular" w:hAnsi="Karbon Regular"/>
          <w:lang w:val="it-IT"/>
        </w:rPr>
        <w:t xml:space="preserve">dell’assistenza sanitaria riabilitativa e RSA. Nello specifico, le emissioni hanno riguardato: </w:t>
      </w:r>
    </w:p>
    <w:p w14:paraId="2F6AFE98" w14:textId="77777777" w:rsidR="00E27434" w:rsidRPr="00E27434" w:rsidRDefault="00E27434" w:rsidP="00452C91">
      <w:pPr>
        <w:numPr>
          <w:ilvl w:val="0"/>
          <w:numId w:val="3"/>
        </w:numPr>
        <w:ind w:right="142"/>
        <w:rPr>
          <w:rFonts w:ascii="Karbon Regular" w:hAnsi="Karbon Regular"/>
          <w:lang w:val="it-IT"/>
        </w:rPr>
      </w:pPr>
      <w:r w:rsidRPr="00E27434">
        <w:rPr>
          <w:rFonts w:ascii="Karbon Regular" w:hAnsi="Karbon Regular"/>
          <w:b/>
          <w:bCs/>
          <w:lang w:val="it-IT"/>
        </w:rPr>
        <w:t>GA.MA</w:t>
      </w:r>
      <w:r w:rsidRPr="00E27434">
        <w:rPr>
          <w:rFonts w:ascii="Karbon Regular" w:hAnsi="Karbon Regular"/>
          <w:lang w:val="it-IT"/>
        </w:rPr>
        <w:t>, azienda bolognese con un forte posizionamento internazionale nel mercato dei componenti elettronici per la cura del capello e del viso, ha emesso un minibond da 10 milioni di euro e durata pari a 7 anni, per rafforzare la propria capacità produttiva in Italia, tramite investimenti in macchinari e attrezzature innovative presso lo stabilimento di recente inaugurazione a Cossolengo (Piacenza).</w:t>
      </w:r>
    </w:p>
    <w:p w14:paraId="36B5EA95" w14:textId="77777777" w:rsidR="00E27434" w:rsidRPr="00E27434" w:rsidRDefault="00E27434" w:rsidP="00452C91">
      <w:pPr>
        <w:numPr>
          <w:ilvl w:val="0"/>
          <w:numId w:val="3"/>
        </w:numPr>
        <w:ind w:right="142"/>
        <w:rPr>
          <w:rFonts w:ascii="Karbon Regular" w:hAnsi="Karbon Regular"/>
          <w:lang w:val="it-IT"/>
        </w:rPr>
      </w:pPr>
      <w:r w:rsidRPr="00E27434">
        <w:rPr>
          <w:rFonts w:ascii="Karbon Regular" w:hAnsi="Karbon Regular"/>
          <w:b/>
          <w:bCs/>
          <w:lang w:val="it-IT"/>
        </w:rPr>
        <w:t>FAB</w:t>
      </w:r>
      <w:r w:rsidRPr="00E27434">
        <w:rPr>
          <w:rFonts w:ascii="Karbon Regular" w:hAnsi="Karbon Regular"/>
          <w:lang w:val="it-IT"/>
        </w:rPr>
        <w:t xml:space="preserve">, realtà industriale con sede a Petriano (Pesaro e Urbino) specializzata nella produzione di piani da lavoro per cucine componibili, ha emesso un minibond da 10 milioni di euro e durata di 7 anni, destinato alla realizzazione di un nuovo stabilimento produttivo altamente </w:t>
      </w:r>
      <w:r w:rsidRPr="00E27434">
        <w:rPr>
          <w:rFonts w:ascii="Karbon Regular" w:hAnsi="Karbon Regular"/>
          <w:lang w:val="it-IT"/>
        </w:rPr>
        <w:lastRenderedPageBreak/>
        <w:t>automatizzato, che porterà importanti benefici in termini di maggiori volumi prodotti e di economie di scala.</w:t>
      </w:r>
    </w:p>
    <w:p w14:paraId="7BF5160A" w14:textId="77777777" w:rsidR="00E27434" w:rsidRPr="00E27434" w:rsidRDefault="00E27434" w:rsidP="00452C91">
      <w:pPr>
        <w:numPr>
          <w:ilvl w:val="0"/>
          <w:numId w:val="3"/>
        </w:numPr>
        <w:ind w:right="142"/>
        <w:rPr>
          <w:rFonts w:ascii="Karbon Regular" w:hAnsi="Karbon Regular"/>
          <w:lang w:val="it-IT"/>
        </w:rPr>
      </w:pPr>
      <w:r w:rsidRPr="00E27434">
        <w:rPr>
          <w:rFonts w:ascii="Karbon Regular" w:hAnsi="Karbon Regular"/>
          <w:b/>
          <w:bCs/>
          <w:lang w:val="it-IT"/>
        </w:rPr>
        <w:t>Centro di Riabilitazione Lars</w:t>
      </w:r>
      <w:r w:rsidRPr="00E27434">
        <w:rPr>
          <w:rFonts w:ascii="Karbon Regular" w:hAnsi="Karbon Regular"/>
          <w:lang w:val="it-IT"/>
        </w:rPr>
        <w:t>, con sede a Sarno (Salerno) che si occupa dal 1989 di assistenza riabilitativa ambulatoriale, domiciliare e residenziale sia a ciclo continuo che diurno, ha emesso un minibond da 5 milioni di euro e durata di 7 anni, finalizzato alla costruzione di 4 nuovi edifici destinati ad ospitare una RSA e ad offrire servizi di riabilitazione e trattamenti terapeutici.</w:t>
      </w:r>
    </w:p>
    <w:p w14:paraId="56A500C3" w14:textId="77777777" w:rsidR="00187879" w:rsidRPr="00722AE9" w:rsidRDefault="00187879" w:rsidP="009E5B74">
      <w:pPr>
        <w:ind w:right="142"/>
        <w:jc w:val="both"/>
        <w:rPr>
          <w:rFonts w:ascii="Karbon Regular" w:hAnsi="Karbon Regular"/>
          <w:lang w:val="it-IT"/>
        </w:rPr>
      </w:pPr>
    </w:p>
    <w:p w14:paraId="5B1DA4D9" w14:textId="2551B235" w:rsidR="008A6AA9" w:rsidRPr="008A6AA9" w:rsidRDefault="008A6AA9" w:rsidP="009E5B74">
      <w:pPr>
        <w:ind w:right="142"/>
        <w:jc w:val="both"/>
        <w:rPr>
          <w:rFonts w:ascii="Karbon Regular" w:hAnsi="Karbon Regular"/>
          <w:b/>
          <w:bCs/>
          <w:sz w:val="20"/>
          <w:szCs w:val="20"/>
          <w:lang w:val="it-IT"/>
        </w:rPr>
      </w:pPr>
      <w:r w:rsidRPr="008A6AA9">
        <w:rPr>
          <w:rFonts w:ascii="Karbon Regular" w:hAnsi="Karbon Regular"/>
          <w:b/>
          <w:bCs/>
          <w:sz w:val="20"/>
          <w:szCs w:val="20"/>
          <w:lang w:val="it-IT"/>
        </w:rPr>
        <w:t>Gardant S.p.A.</w:t>
      </w:r>
    </w:p>
    <w:p w14:paraId="14649002" w14:textId="77777777" w:rsidR="00E27434" w:rsidRPr="00E27434" w:rsidRDefault="00E27434" w:rsidP="00E27434">
      <w:pPr>
        <w:spacing w:after="0" w:line="240" w:lineRule="auto"/>
        <w:ind w:right="142"/>
        <w:rPr>
          <w:rFonts w:ascii="Karbon Regular" w:hAnsi="Karbon Regular"/>
          <w:sz w:val="20"/>
          <w:szCs w:val="20"/>
          <w:lang w:val="it-IT"/>
        </w:rPr>
      </w:pPr>
      <w:r w:rsidRPr="00E27434">
        <w:rPr>
          <w:rFonts w:ascii="Karbon Regular" w:hAnsi="Karbon Regular"/>
          <w:sz w:val="20"/>
          <w:szCs w:val="20"/>
          <w:lang w:val="it-IT"/>
        </w:rPr>
        <w:t xml:space="preserve">Gardant S.p.A. è una società italiana, con sede legale a Roma, capogruppo del Gruppo Gardant, in corso di costituzione a esito della riorganizzazione e scissione da Credito Fondiario delle attività di </w:t>
      </w:r>
      <w:r w:rsidRPr="00E27434">
        <w:rPr>
          <w:rFonts w:ascii="Karbon Regular" w:hAnsi="Karbon Regular"/>
          <w:i/>
          <w:iCs/>
          <w:sz w:val="20"/>
          <w:szCs w:val="20"/>
          <w:lang w:val="it-IT"/>
        </w:rPr>
        <w:t>debt servicing</w:t>
      </w:r>
      <w:r w:rsidRPr="00E27434">
        <w:rPr>
          <w:rFonts w:ascii="Karbon Regular" w:hAnsi="Karbon Regular"/>
          <w:sz w:val="20"/>
          <w:szCs w:val="20"/>
          <w:lang w:val="it-IT"/>
        </w:rPr>
        <w:t xml:space="preserve"> e </w:t>
      </w:r>
      <w:r w:rsidRPr="00E27434">
        <w:rPr>
          <w:rFonts w:ascii="Karbon Regular" w:hAnsi="Karbon Regular"/>
          <w:i/>
          <w:iCs/>
          <w:sz w:val="20"/>
          <w:szCs w:val="20"/>
          <w:lang w:val="it-IT"/>
        </w:rPr>
        <w:t>debt purchasing</w:t>
      </w:r>
      <w:r w:rsidRPr="00E27434">
        <w:rPr>
          <w:rFonts w:ascii="Karbon Regular" w:hAnsi="Karbon Regular"/>
          <w:sz w:val="20"/>
          <w:szCs w:val="20"/>
          <w:lang w:val="it-IT"/>
        </w:rPr>
        <w:t xml:space="preserve">. Il Gruppo oggi è tra i leader nel settore del </w:t>
      </w:r>
      <w:r w:rsidRPr="00E27434">
        <w:rPr>
          <w:rFonts w:ascii="Karbon Regular" w:hAnsi="Karbon Regular"/>
          <w:i/>
          <w:iCs/>
          <w:sz w:val="20"/>
          <w:szCs w:val="20"/>
          <w:lang w:val="it-IT"/>
        </w:rPr>
        <w:t>credit management</w:t>
      </w:r>
      <w:r w:rsidRPr="00E27434">
        <w:rPr>
          <w:rFonts w:ascii="Karbon Regular" w:hAnsi="Karbon Regular"/>
          <w:sz w:val="20"/>
          <w:szCs w:val="20"/>
          <w:lang w:val="it-IT"/>
        </w:rPr>
        <w:t xml:space="preserve"> in Italia, con un </w:t>
      </w:r>
      <w:r w:rsidRPr="00E27434">
        <w:rPr>
          <w:rFonts w:ascii="Karbon Regular" w:hAnsi="Karbon Regular"/>
          <w:i/>
          <w:iCs/>
          <w:sz w:val="20"/>
          <w:szCs w:val="20"/>
          <w:lang w:val="it-IT"/>
        </w:rPr>
        <w:t>business</w:t>
      </w:r>
      <w:r w:rsidRPr="00E27434">
        <w:rPr>
          <w:rFonts w:ascii="Karbon Regular" w:hAnsi="Karbon Regular"/>
          <w:sz w:val="20"/>
          <w:szCs w:val="20"/>
          <w:lang w:val="it-IT"/>
        </w:rPr>
        <w:t xml:space="preserve"> model unico: è sia Debt Servicer (DS) sia Asset Manager / Debt Purchaser (DP) ed opera su tutte le asset class collegate ai crediti bancari e leasing (performing, unlikely-to-pay, sofferenze).</w:t>
      </w:r>
    </w:p>
    <w:p w14:paraId="027EB92A" w14:textId="77777777" w:rsidR="008A6AA9" w:rsidRPr="008A6AA9" w:rsidRDefault="008A6AA9" w:rsidP="00FA70C5">
      <w:pPr>
        <w:spacing w:after="0" w:line="240" w:lineRule="auto"/>
        <w:ind w:right="142"/>
        <w:rPr>
          <w:rFonts w:ascii="Karbon Regular" w:hAnsi="Karbon Regular"/>
          <w:b/>
          <w:bCs/>
          <w:i/>
          <w:iCs/>
          <w:sz w:val="20"/>
          <w:szCs w:val="20"/>
          <w:lang w:val="it-IT"/>
        </w:rPr>
      </w:pPr>
    </w:p>
    <w:p w14:paraId="52923143" w14:textId="173BA290" w:rsidR="008A6AA9" w:rsidRDefault="008A6AA9" w:rsidP="00FA70C5">
      <w:pPr>
        <w:spacing w:after="0" w:line="240" w:lineRule="auto"/>
        <w:ind w:right="142"/>
        <w:rPr>
          <w:rFonts w:ascii="Karbon Regular" w:hAnsi="Karbon Regular"/>
          <w:b/>
          <w:bCs/>
          <w:sz w:val="20"/>
          <w:szCs w:val="20"/>
          <w:lang w:val="it-IT"/>
        </w:rPr>
      </w:pPr>
      <w:r w:rsidRPr="008A6AA9">
        <w:rPr>
          <w:rFonts w:ascii="Karbon Regular" w:hAnsi="Karbon Regular"/>
          <w:b/>
          <w:bCs/>
          <w:sz w:val="20"/>
          <w:szCs w:val="20"/>
          <w:lang w:val="it-IT"/>
        </w:rPr>
        <w:t>Per ulteriori informazioni:</w:t>
      </w:r>
    </w:p>
    <w:p w14:paraId="4D78A93D" w14:textId="77777777" w:rsidR="008A6AA9" w:rsidRPr="008A6AA9" w:rsidRDefault="008A6AA9" w:rsidP="00FA70C5">
      <w:pPr>
        <w:spacing w:after="0" w:line="240" w:lineRule="auto"/>
        <w:ind w:right="142"/>
        <w:rPr>
          <w:rFonts w:ascii="Karbon Regular" w:hAnsi="Karbon Regular"/>
          <w:sz w:val="20"/>
          <w:szCs w:val="20"/>
          <w:lang w:val="it-IT"/>
        </w:rPr>
      </w:pPr>
      <w:r w:rsidRPr="008A6AA9">
        <w:rPr>
          <w:rFonts w:ascii="Karbon Regular" w:hAnsi="Karbon Regular"/>
          <w:sz w:val="20"/>
          <w:szCs w:val="20"/>
          <w:lang w:val="it-IT"/>
        </w:rPr>
        <w:t>Daniele Biolcati</w:t>
      </w:r>
    </w:p>
    <w:p w14:paraId="29016819" w14:textId="77777777" w:rsidR="008A6AA9" w:rsidRPr="008A6AA9" w:rsidRDefault="008A6AA9" w:rsidP="00FA70C5">
      <w:pPr>
        <w:spacing w:after="0" w:line="240" w:lineRule="auto"/>
        <w:ind w:right="142"/>
        <w:rPr>
          <w:rFonts w:ascii="Karbon Regular" w:hAnsi="Karbon Regular"/>
          <w:sz w:val="20"/>
          <w:szCs w:val="20"/>
          <w:lang w:val="it-IT"/>
        </w:rPr>
      </w:pPr>
      <w:r w:rsidRPr="008A6AA9">
        <w:rPr>
          <w:rFonts w:ascii="Karbon Regular" w:hAnsi="Karbon Regular"/>
          <w:sz w:val="20"/>
          <w:szCs w:val="20"/>
          <w:lang w:val="it-IT"/>
        </w:rPr>
        <w:t>Tel. +39 337 1689124</w:t>
      </w:r>
    </w:p>
    <w:p w14:paraId="36033FE1" w14:textId="77777777" w:rsidR="008A6AA9" w:rsidRPr="001F56FD" w:rsidRDefault="008A6AA9" w:rsidP="00FA70C5">
      <w:pPr>
        <w:spacing w:after="0" w:line="240" w:lineRule="auto"/>
        <w:ind w:right="142"/>
        <w:rPr>
          <w:rFonts w:ascii="Karbon Regular" w:hAnsi="Karbon Regular"/>
          <w:sz w:val="20"/>
          <w:szCs w:val="20"/>
          <w:lang w:val="en-US"/>
        </w:rPr>
      </w:pPr>
      <w:r w:rsidRPr="001F56FD">
        <w:rPr>
          <w:rFonts w:ascii="Karbon Regular" w:hAnsi="Karbon Regular"/>
          <w:sz w:val="20"/>
          <w:szCs w:val="20"/>
          <w:lang w:val="en-US"/>
        </w:rPr>
        <w:t>Email: daniele.biolcati@</w:t>
      </w:r>
      <w:r>
        <w:rPr>
          <w:rFonts w:ascii="Karbon Regular" w:hAnsi="Karbon Regular"/>
          <w:sz w:val="20"/>
          <w:szCs w:val="20"/>
          <w:lang w:val="en-US"/>
        </w:rPr>
        <w:t>gardant</w:t>
      </w:r>
      <w:r w:rsidRPr="001F56FD">
        <w:rPr>
          <w:rFonts w:ascii="Karbon Regular" w:hAnsi="Karbon Regular"/>
          <w:sz w:val="20"/>
          <w:szCs w:val="20"/>
          <w:lang w:val="en-US"/>
        </w:rPr>
        <w:t>.eu</w:t>
      </w:r>
    </w:p>
    <w:p w14:paraId="35B66871" w14:textId="77777777" w:rsidR="008A6AA9" w:rsidRPr="001F56FD" w:rsidRDefault="008A6AA9" w:rsidP="00FA70C5">
      <w:pPr>
        <w:spacing w:after="0" w:line="240" w:lineRule="auto"/>
        <w:ind w:right="142"/>
        <w:rPr>
          <w:rFonts w:ascii="Karbon Regular" w:hAnsi="Karbon Regular"/>
          <w:sz w:val="20"/>
          <w:szCs w:val="20"/>
          <w:lang w:val="en-US"/>
        </w:rPr>
      </w:pPr>
    </w:p>
    <w:p w14:paraId="31D17864" w14:textId="1B8CA7C7" w:rsidR="008A6AA9" w:rsidRPr="001F56FD" w:rsidRDefault="008A6AA9" w:rsidP="00FA70C5">
      <w:pPr>
        <w:spacing w:after="0" w:line="240" w:lineRule="auto"/>
        <w:ind w:right="142"/>
        <w:rPr>
          <w:rFonts w:ascii="Karbon Regular" w:hAnsi="Karbon Regular"/>
          <w:i/>
          <w:iCs/>
          <w:sz w:val="20"/>
          <w:szCs w:val="20"/>
          <w:lang w:val="en-US"/>
        </w:rPr>
      </w:pPr>
      <w:r w:rsidRPr="001F56FD">
        <w:rPr>
          <w:rFonts w:ascii="Karbon Regular" w:hAnsi="Karbon Regular"/>
          <w:i/>
          <w:iCs/>
          <w:sz w:val="20"/>
          <w:szCs w:val="20"/>
          <w:lang w:val="en-US"/>
        </w:rPr>
        <w:t>SEC Newgate</w:t>
      </w:r>
      <w:r w:rsidR="00515585">
        <w:rPr>
          <w:rFonts w:ascii="Karbon Regular" w:hAnsi="Karbon Regular"/>
          <w:i/>
          <w:iCs/>
          <w:sz w:val="20"/>
          <w:szCs w:val="20"/>
          <w:lang w:val="en-US"/>
        </w:rPr>
        <w:t xml:space="preserve"> Italia</w:t>
      </w:r>
    </w:p>
    <w:p w14:paraId="4C0456CA" w14:textId="48AB1855" w:rsidR="008A6AA9" w:rsidRPr="008A6AA9" w:rsidRDefault="008A6AA9" w:rsidP="00FA70C5">
      <w:pPr>
        <w:spacing w:after="0" w:line="240" w:lineRule="auto"/>
        <w:ind w:right="142"/>
        <w:rPr>
          <w:rFonts w:ascii="Karbon Regular" w:hAnsi="Karbon Regular"/>
          <w:sz w:val="20"/>
          <w:szCs w:val="20"/>
          <w:lang w:val="it-IT"/>
        </w:rPr>
      </w:pPr>
      <w:r w:rsidRPr="008A6AA9">
        <w:rPr>
          <w:rFonts w:ascii="Karbon Regular" w:hAnsi="Karbon Regular"/>
          <w:sz w:val="20"/>
          <w:szCs w:val="20"/>
          <w:lang w:val="it-IT"/>
        </w:rPr>
        <w:t xml:space="preserve">Daniele Pinosa, +39 335 7233872, </w:t>
      </w:r>
      <w:r w:rsidR="00CE72F7">
        <w:rPr>
          <w:rFonts w:ascii="Karbon Regular" w:hAnsi="Karbon Regular"/>
          <w:sz w:val="20"/>
          <w:szCs w:val="20"/>
          <w:lang w:val="it-IT"/>
        </w:rPr>
        <w:t>daniele.</w:t>
      </w:r>
      <w:r w:rsidRPr="008A6AA9">
        <w:rPr>
          <w:rFonts w:ascii="Karbon Regular" w:hAnsi="Karbon Regular"/>
          <w:sz w:val="20"/>
          <w:szCs w:val="20"/>
          <w:lang w:val="it-IT"/>
        </w:rPr>
        <w:t>pinosa@sec</w:t>
      </w:r>
      <w:r w:rsidR="00CE72F7">
        <w:rPr>
          <w:rFonts w:ascii="Karbon Regular" w:hAnsi="Karbon Regular"/>
          <w:sz w:val="20"/>
          <w:szCs w:val="20"/>
          <w:lang w:val="it-IT"/>
        </w:rPr>
        <w:t>newgate.it</w:t>
      </w:r>
    </w:p>
    <w:p w14:paraId="58FA4CC7" w14:textId="1BECB4B2" w:rsidR="00CE72F7" w:rsidRDefault="00CE72F7" w:rsidP="00FA70C5">
      <w:pPr>
        <w:spacing w:after="0" w:line="240" w:lineRule="auto"/>
        <w:ind w:right="142"/>
        <w:rPr>
          <w:rFonts w:ascii="Karbon Regular" w:hAnsi="Karbon Regular"/>
          <w:sz w:val="20"/>
          <w:szCs w:val="20"/>
          <w:lang w:val="it-IT"/>
        </w:rPr>
      </w:pPr>
      <w:r>
        <w:rPr>
          <w:rFonts w:ascii="Karbon Regular" w:hAnsi="Karbon Regular"/>
          <w:sz w:val="20"/>
          <w:szCs w:val="20"/>
          <w:lang w:val="it-IT"/>
        </w:rPr>
        <w:t>Michele Bon, +39 338 6933868, michele.bon</w:t>
      </w:r>
      <w:r w:rsidRPr="008A6AA9">
        <w:rPr>
          <w:rFonts w:ascii="Karbon Regular" w:hAnsi="Karbon Regular"/>
          <w:sz w:val="20"/>
          <w:szCs w:val="20"/>
          <w:lang w:val="it-IT"/>
        </w:rPr>
        <w:t>@sec</w:t>
      </w:r>
      <w:r>
        <w:rPr>
          <w:rFonts w:ascii="Karbon Regular" w:hAnsi="Karbon Regular"/>
          <w:sz w:val="20"/>
          <w:szCs w:val="20"/>
          <w:lang w:val="it-IT"/>
        </w:rPr>
        <w:t>newgate.it</w:t>
      </w:r>
    </w:p>
    <w:p w14:paraId="5D8261A4" w14:textId="05DBB6A3" w:rsidR="008A6AA9" w:rsidRPr="008A6AA9" w:rsidRDefault="008A6AA9" w:rsidP="00FA70C5">
      <w:pPr>
        <w:spacing w:after="0" w:line="240" w:lineRule="auto"/>
        <w:ind w:right="142"/>
        <w:rPr>
          <w:rFonts w:ascii="Karbon Regular" w:hAnsi="Karbon Regular"/>
          <w:sz w:val="20"/>
          <w:szCs w:val="20"/>
          <w:lang w:val="it-IT"/>
        </w:rPr>
      </w:pPr>
      <w:r w:rsidRPr="008A6AA9">
        <w:rPr>
          <w:rFonts w:ascii="Karbon Regular" w:hAnsi="Karbon Regular"/>
          <w:sz w:val="20"/>
          <w:szCs w:val="20"/>
          <w:lang w:val="it-IT"/>
        </w:rPr>
        <w:t xml:space="preserve">Fabio Santilio, +39 339 8446521, </w:t>
      </w:r>
      <w:r w:rsidR="00CE72F7">
        <w:rPr>
          <w:rFonts w:ascii="Karbon Regular" w:hAnsi="Karbon Regular"/>
          <w:sz w:val="20"/>
          <w:szCs w:val="20"/>
          <w:lang w:val="it-IT"/>
        </w:rPr>
        <w:t>fabio.</w:t>
      </w:r>
      <w:r w:rsidRPr="008A6AA9">
        <w:rPr>
          <w:rFonts w:ascii="Karbon Regular" w:hAnsi="Karbon Regular"/>
          <w:sz w:val="20"/>
          <w:szCs w:val="20"/>
          <w:lang w:val="it-IT"/>
        </w:rPr>
        <w:t>santilio@</w:t>
      </w:r>
      <w:r w:rsidR="00CE72F7" w:rsidRPr="008A6AA9">
        <w:rPr>
          <w:rFonts w:ascii="Karbon Regular" w:hAnsi="Karbon Regular"/>
          <w:sz w:val="20"/>
          <w:szCs w:val="20"/>
          <w:lang w:val="it-IT"/>
        </w:rPr>
        <w:t>sec</w:t>
      </w:r>
      <w:r w:rsidR="00CE72F7">
        <w:rPr>
          <w:rFonts w:ascii="Karbon Regular" w:hAnsi="Karbon Regular"/>
          <w:sz w:val="20"/>
          <w:szCs w:val="20"/>
          <w:lang w:val="it-IT"/>
        </w:rPr>
        <w:t>newgate.it</w:t>
      </w:r>
    </w:p>
    <w:p w14:paraId="3F1159AC" w14:textId="6B389714" w:rsidR="00363207" w:rsidRPr="002D7777" w:rsidRDefault="008A6AA9" w:rsidP="00FA70C5">
      <w:pPr>
        <w:spacing w:after="0" w:line="240" w:lineRule="auto"/>
        <w:ind w:right="142"/>
        <w:rPr>
          <w:rFonts w:ascii="Karbon Regular" w:hAnsi="Karbon Regular"/>
          <w:sz w:val="20"/>
          <w:szCs w:val="20"/>
          <w:lang w:val="it-IT"/>
        </w:rPr>
      </w:pPr>
      <w:r w:rsidRPr="008A6AA9">
        <w:rPr>
          <w:rFonts w:ascii="Karbon Regular" w:hAnsi="Karbon Regular"/>
          <w:sz w:val="20"/>
          <w:szCs w:val="20"/>
          <w:lang w:val="it-IT"/>
        </w:rPr>
        <w:t xml:space="preserve">Chiara Andreotti, +39 340 3613320, </w:t>
      </w:r>
      <w:r w:rsidR="00CE72F7">
        <w:rPr>
          <w:rFonts w:ascii="Karbon Regular" w:hAnsi="Karbon Regular"/>
          <w:sz w:val="20"/>
          <w:szCs w:val="20"/>
          <w:lang w:val="it-IT"/>
        </w:rPr>
        <w:t>chiara.</w:t>
      </w:r>
      <w:r w:rsidRPr="008A6AA9">
        <w:rPr>
          <w:rFonts w:ascii="Karbon Regular" w:hAnsi="Karbon Regular"/>
          <w:sz w:val="20"/>
          <w:szCs w:val="20"/>
          <w:lang w:val="it-IT"/>
        </w:rPr>
        <w:t>andreotti</w:t>
      </w:r>
      <w:r w:rsidR="00CE72F7" w:rsidRPr="008A6AA9">
        <w:rPr>
          <w:rFonts w:ascii="Karbon Regular" w:hAnsi="Karbon Regular"/>
          <w:sz w:val="20"/>
          <w:szCs w:val="20"/>
          <w:lang w:val="it-IT"/>
        </w:rPr>
        <w:t>@sec</w:t>
      </w:r>
      <w:r w:rsidR="00CE72F7">
        <w:rPr>
          <w:rFonts w:ascii="Karbon Regular" w:hAnsi="Karbon Regular"/>
          <w:sz w:val="20"/>
          <w:szCs w:val="20"/>
          <w:lang w:val="it-IT"/>
        </w:rPr>
        <w:t>newgate.it</w:t>
      </w:r>
      <w:r w:rsidR="00C82EE5" w:rsidRPr="002D7777">
        <w:rPr>
          <w:rFonts w:ascii="Karbon Regular" w:hAnsi="Karbon Regular"/>
          <w:sz w:val="20"/>
          <w:szCs w:val="20"/>
          <w:lang w:val="it-IT"/>
        </w:rPr>
        <w:t xml:space="preserve"> </w:t>
      </w:r>
    </w:p>
    <w:sectPr w:rsidR="00363207" w:rsidRPr="002D7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4" w:bottom="1134" w:left="1134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41EA3" w14:textId="77777777" w:rsidR="00F202D5" w:rsidRDefault="00F202D5">
      <w:pPr>
        <w:spacing w:after="0" w:line="240" w:lineRule="auto"/>
      </w:pPr>
      <w:r>
        <w:separator/>
      </w:r>
    </w:p>
  </w:endnote>
  <w:endnote w:type="continuationSeparator" w:id="0">
    <w:p w14:paraId="2D9C0CD0" w14:textId="77777777" w:rsidR="00F202D5" w:rsidRDefault="00F2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rbon Med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Karbon Semibold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Karbon Regular">
    <w:altName w:val="Cambria"/>
    <w:panose1 w:val="020B0604020202020204"/>
    <w:charset w:val="4D"/>
    <w:family w:val="auto"/>
    <w:notTrueType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9571" w14:textId="77777777" w:rsidR="00363207" w:rsidRDefault="003632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EF28" w14:textId="77777777" w:rsidR="00363207" w:rsidRDefault="00C82E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Karbon Regular" w:eastAsia="Karbon Regular" w:hAnsi="Karbon Regular" w:cs="Karbon Regular"/>
        <w:color w:val="000000"/>
        <w:sz w:val="20"/>
        <w:szCs w:val="20"/>
      </w:rPr>
    </w:pPr>
    <w:r>
      <w:rPr>
        <w:rFonts w:ascii="Karbon Regular" w:eastAsia="Karbon Regular" w:hAnsi="Karbon Regular" w:cs="Karbon Regular"/>
        <w:color w:val="000000"/>
        <w:sz w:val="20"/>
        <w:szCs w:val="20"/>
      </w:rPr>
      <w:fldChar w:fldCharType="begin"/>
    </w:r>
    <w:r>
      <w:rPr>
        <w:rFonts w:ascii="Karbon Regular" w:eastAsia="Karbon Regular" w:hAnsi="Karbon Regular" w:cs="Karbon Regular"/>
        <w:color w:val="000000"/>
        <w:sz w:val="20"/>
        <w:szCs w:val="20"/>
      </w:rPr>
      <w:instrText>PAGE</w:instrText>
    </w:r>
    <w:r>
      <w:rPr>
        <w:rFonts w:ascii="Karbon Regular" w:eastAsia="Karbon Regular" w:hAnsi="Karbon Regular" w:cs="Karbon Regular"/>
        <w:color w:val="000000"/>
        <w:sz w:val="20"/>
        <w:szCs w:val="20"/>
      </w:rPr>
      <w:fldChar w:fldCharType="separate"/>
    </w:r>
    <w:r w:rsidR="0040138B">
      <w:rPr>
        <w:rFonts w:ascii="Karbon Regular" w:eastAsia="Karbon Regular" w:hAnsi="Karbon Regular" w:cs="Karbon Regular"/>
        <w:noProof/>
        <w:color w:val="000000"/>
        <w:sz w:val="20"/>
        <w:szCs w:val="20"/>
      </w:rPr>
      <w:t>2</w:t>
    </w:r>
    <w:r>
      <w:rPr>
        <w:rFonts w:ascii="Karbon Regular" w:eastAsia="Karbon Regular" w:hAnsi="Karbon Regular" w:cs="Karbon Regular"/>
        <w:color w:val="000000"/>
        <w:sz w:val="20"/>
        <w:szCs w:val="20"/>
      </w:rPr>
      <w:fldChar w:fldCharType="end"/>
    </w:r>
  </w:p>
  <w:p w14:paraId="2509817D" w14:textId="77777777" w:rsidR="00363207" w:rsidRDefault="003632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F41F" w14:textId="77777777" w:rsidR="00363207" w:rsidRDefault="00C82E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Karbon Regular" w:eastAsia="Karbon Regular" w:hAnsi="Karbon Regular" w:cs="Karbon Regular"/>
        <w:color w:val="000000"/>
        <w:sz w:val="20"/>
        <w:szCs w:val="20"/>
      </w:rPr>
    </w:pPr>
    <w:r>
      <w:rPr>
        <w:rFonts w:ascii="Karbon Regular" w:eastAsia="Karbon Regular" w:hAnsi="Karbon Regular" w:cs="Karbon Regular"/>
        <w:color w:val="000000"/>
        <w:sz w:val="20"/>
        <w:szCs w:val="20"/>
      </w:rPr>
      <w:fldChar w:fldCharType="begin"/>
    </w:r>
    <w:r>
      <w:rPr>
        <w:rFonts w:ascii="Karbon Regular" w:eastAsia="Karbon Regular" w:hAnsi="Karbon Regular" w:cs="Karbon Regular"/>
        <w:color w:val="000000"/>
        <w:sz w:val="20"/>
        <w:szCs w:val="20"/>
      </w:rPr>
      <w:instrText>PAGE</w:instrText>
    </w:r>
    <w:r>
      <w:rPr>
        <w:rFonts w:ascii="Karbon Regular" w:eastAsia="Karbon Regular" w:hAnsi="Karbon Regular" w:cs="Karbon Regular"/>
        <w:color w:val="000000"/>
        <w:sz w:val="20"/>
        <w:szCs w:val="20"/>
      </w:rPr>
      <w:fldChar w:fldCharType="separate"/>
    </w:r>
    <w:r w:rsidR="0040138B">
      <w:rPr>
        <w:rFonts w:ascii="Karbon Regular" w:eastAsia="Karbon Regular" w:hAnsi="Karbon Regular" w:cs="Karbon Regular"/>
        <w:noProof/>
        <w:color w:val="000000"/>
        <w:sz w:val="20"/>
        <w:szCs w:val="20"/>
      </w:rPr>
      <w:t>1</w:t>
    </w:r>
    <w:r>
      <w:rPr>
        <w:rFonts w:ascii="Karbon Regular" w:eastAsia="Karbon Regular" w:hAnsi="Karbon Regular" w:cs="Karbon Regular"/>
        <w:color w:val="000000"/>
        <w:sz w:val="20"/>
        <w:szCs w:val="20"/>
      </w:rPr>
      <w:fldChar w:fldCharType="end"/>
    </w:r>
  </w:p>
  <w:p w14:paraId="5B52475D" w14:textId="77777777" w:rsidR="00363207" w:rsidRDefault="003632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8F229" w14:textId="77777777" w:rsidR="00F202D5" w:rsidRDefault="00F202D5">
      <w:pPr>
        <w:spacing w:after="0" w:line="240" w:lineRule="auto"/>
      </w:pPr>
      <w:r>
        <w:separator/>
      </w:r>
    </w:p>
  </w:footnote>
  <w:footnote w:type="continuationSeparator" w:id="0">
    <w:p w14:paraId="2F97A16D" w14:textId="77777777" w:rsidR="00F202D5" w:rsidRDefault="00F2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4EA8" w14:textId="77777777" w:rsidR="00363207" w:rsidRDefault="003632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0D35" w14:textId="77777777" w:rsidR="00363207" w:rsidRDefault="003632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851"/>
      </w:tabs>
      <w:spacing w:after="0" w:line="240" w:lineRule="auto"/>
      <w:rPr>
        <w:color w:val="000000"/>
      </w:rPr>
    </w:pPr>
  </w:p>
  <w:p w14:paraId="729DA0CA" w14:textId="77777777" w:rsidR="00363207" w:rsidRDefault="00C82E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851"/>
      </w:tabs>
      <w:spacing w:after="0" w:line="240" w:lineRule="auto"/>
      <w:ind w:left="-426"/>
      <w:rPr>
        <w:color w:val="000000"/>
      </w:rPr>
    </w:pPr>
    <w:r>
      <w:rPr>
        <w:noProof/>
        <w:color w:val="000000"/>
      </w:rPr>
      <w:drawing>
        <wp:inline distT="0" distB="0" distL="0" distR="0" wp14:anchorId="1B30474A" wp14:editId="262BAB77">
          <wp:extent cx="1210352" cy="76776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0352" cy="7677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2E5B3F" w14:textId="77777777" w:rsidR="00363207" w:rsidRDefault="003632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216F4F17" w14:textId="77777777" w:rsidR="00363207" w:rsidRDefault="003632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0494" w14:textId="77777777" w:rsidR="00363207" w:rsidRDefault="003632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-284"/>
      <w:rPr>
        <w:b/>
        <w:color w:val="000000"/>
      </w:rPr>
    </w:pPr>
  </w:p>
  <w:p w14:paraId="1CE9AB43" w14:textId="117D2551" w:rsidR="00363207" w:rsidRDefault="00C82EE5" w:rsidP="00945023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after="0" w:line="240" w:lineRule="auto"/>
      <w:ind w:left="-284"/>
      <w:rPr>
        <w:b/>
        <w:color w:val="000000"/>
      </w:rPr>
    </w:pPr>
    <w:r>
      <w:rPr>
        <w:noProof/>
        <w:color w:val="000000"/>
      </w:rPr>
      <w:drawing>
        <wp:inline distT="0" distB="0" distL="0" distR="0" wp14:anchorId="745DB5F1" wp14:editId="4A19C3DB">
          <wp:extent cx="1210352" cy="767761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0352" cy="7677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5BE8CE" w14:textId="77777777" w:rsidR="00363207" w:rsidRDefault="003632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000000"/>
      </w:rPr>
    </w:pPr>
  </w:p>
  <w:p w14:paraId="1FFEFAE8" w14:textId="77777777" w:rsidR="00363207" w:rsidRDefault="003632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D90"/>
    <w:multiLevelType w:val="multilevel"/>
    <w:tmpl w:val="C0B8D338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59D91256"/>
    <w:multiLevelType w:val="multilevel"/>
    <w:tmpl w:val="243C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7407B5"/>
    <w:multiLevelType w:val="hybridMultilevel"/>
    <w:tmpl w:val="B940820E"/>
    <w:lvl w:ilvl="0" w:tplc="7636845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821927">
    <w:abstractNumId w:val="0"/>
  </w:num>
  <w:num w:numId="2" w16cid:durableId="1400861052">
    <w:abstractNumId w:val="1"/>
  </w:num>
  <w:num w:numId="3" w16cid:durableId="378213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07"/>
    <w:rsid w:val="000138BB"/>
    <w:rsid w:val="00034030"/>
    <w:rsid w:val="00035039"/>
    <w:rsid w:val="000465DC"/>
    <w:rsid w:val="00060BA1"/>
    <w:rsid w:val="00063087"/>
    <w:rsid w:val="0006474A"/>
    <w:rsid w:val="00066861"/>
    <w:rsid w:val="00096700"/>
    <w:rsid w:val="000A452A"/>
    <w:rsid w:val="000A5894"/>
    <w:rsid w:val="000C131B"/>
    <w:rsid w:val="000E6B22"/>
    <w:rsid w:val="0012218B"/>
    <w:rsid w:val="00156149"/>
    <w:rsid w:val="001615B5"/>
    <w:rsid w:val="00162911"/>
    <w:rsid w:val="001710EF"/>
    <w:rsid w:val="001734F4"/>
    <w:rsid w:val="00187879"/>
    <w:rsid w:val="00192923"/>
    <w:rsid w:val="001D072E"/>
    <w:rsid w:val="001E3258"/>
    <w:rsid w:val="001E3CFD"/>
    <w:rsid w:val="001F18BF"/>
    <w:rsid w:val="00202B59"/>
    <w:rsid w:val="0020650E"/>
    <w:rsid w:val="00215A98"/>
    <w:rsid w:val="00231797"/>
    <w:rsid w:val="00241404"/>
    <w:rsid w:val="00250C96"/>
    <w:rsid w:val="002607F4"/>
    <w:rsid w:val="00282E38"/>
    <w:rsid w:val="00297BEF"/>
    <w:rsid w:val="002C0FBF"/>
    <w:rsid w:val="002C4B5C"/>
    <w:rsid w:val="002D11B0"/>
    <w:rsid w:val="002D7777"/>
    <w:rsid w:val="002D7FF0"/>
    <w:rsid w:val="002E13CC"/>
    <w:rsid w:val="002F14CC"/>
    <w:rsid w:val="00311B3D"/>
    <w:rsid w:val="0032163D"/>
    <w:rsid w:val="00350058"/>
    <w:rsid w:val="00363207"/>
    <w:rsid w:val="00365683"/>
    <w:rsid w:val="00385030"/>
    <w:rsid w:val="00390030"/>
    <w:rsid w:val="00392325"/>
    <w:rsid w:val="003B212F"/>
    <w:rsid w:val="003C0A07"/>
    <w:rsid w:val="003D1117"/>
    <w:rsid w:val="003E53D2"/>
    <w:rsid w:val="003E7B6A"/>
    <w:rsid w:val="003F4DBD"/>
    <w:rsid w:val="00400281"/>
    <w:rsid w:val="0040138B"/>
    <w:rsid w:val="0041027A"/>
    <w:rsid w:val="004119F8"/>
    <w:rsid w:val="004242DC"/>
    <w:rsid w:val="004248D4"/>
    <w:rsid w:val="004360BC"/>
    <w:rsid w:val="00440234"/>
    <w:rsid w:val="004402EE"/>
    <w:rsid w:val="00452C91"/>
    <w:rsid w:val="00460D4D"/>
    <w:rsid w:val="00461753"/>
    <w:rsid w:val="00462173"/>
    <w:rsid w:val="00480624"/>
    <w:rsid w:val="0048606D"/>
    <w:rsid w:val="0049627D"/>
    <w:rsid w:val="004A2050"/>
    <w:rsid w:val="004A563C"/>
    <w:rsid w:val="004A7A9C"/>
    <w:rsid w:val="004C0525"/>
    <w:rsid w:val="004F1A89"/>
    <w:rsid w:val="00500D4B"/>
    <w:rsid w:val="00515585"/>
    <w:rsid w:val="005231D8"/>
    <w:rsid w:val="005274CA"/>
    <w:rsid w:val="00534536"/>
    <w:rsid w:val="00545703"/>
    <w:rsid w:val="0054614D"/>
    <w:rsid w:val="0054724F"/>
    <w:rsid w:val="00557824"/>
    <w:rsid w:val="00560974"/>
    <w:rsid w:val="00567809"/>
    <w:rsid w:val="0058147D"/>
    <w:rsid w:val="00583BBF"/>
    <w:rsid w:val="00584066"/>
    <w:rsid w:val="005962AB"/>
    <w:rsid w:val="005A3B5E"/>
    <w:rsid w:val="005B339C"/>
    <w:rsid w:val="005C1DD9"/>
    <w:rsid w:val="005C32B7"/>
    <w:rsid w:val="005C4C54"/>
    <w:rsid w:val="005F3890"/>
    <w:rsid w:val="00605CEB"/>
    <w:rsid w:val="00606A64"/>
    <w:rsid w:val="006166FC"/>
    <w:rsid w:val="006206BD"/>
    <w:rsid w:val="00630F9C"/>
    <w:rsid w:val="00652F3A"/>
    <w:rsid w:val="00653E4F"/>
    <w:rsid w:val="00656279"/>
    <w:rsid w:val="00656CD4"/>
    <w:rsid w:val="00670EFB"/>
    <w:rsid w:val="006752BC"/>
    <w:rsid w:val="006870AE"/>
    <w:rsid w:val="006B1A4D"/>
    <w:rsid w:val="006B55C9"/>
    <w:rsid w:val="006B69B7"/>
    <w:rsid w:val="006C27E8"/>
    <w:rsid w:val="006D1A88"/>
    <w:rsid w:val="006D434D"/>
    <w:rsid w:val="006F06A4"/>
    <w:rsid w:val="006F1716"/>
    <w:rsid w:val="006F28AC"/>
    <w:rsid w:val="006F495E"/>
    <w:rsid w:val="006F5412"/>
    <w:rsid w:val="0070229D"/>
    <w:rsid w:val="00720943"/>
    <w:rsid w:val="00722AE9"/>
    <w:rsid w:val="00725E6C"/>
    <w:rsid w:val="007449EC"/>
    <w:rsid w:val="007607FE"/>
    <w:rsid w:val="00761AAD"/>
    <w:rsid w:val="00766A17"/>
    <w:rsid w:val="00770A5B"/>
    <w:rsid w:val="00774FDA"/>
    <w:rsid w:val="007B4C71"/>
    <w:rsid w:val="007B5B4C"/>
    <w:rsid w:val="007B75BD"/>
    <w:rsid w:val="007B7C86"/>
    <w:rsid w:val="007D3D59"/>
    <w:rsid w:val="007D7996"/>
    <w:rsid w:val="007E1E3B"/>
    <w:rsid w:val="007F33B0"/>
    <w:rsid w:val="00800A80"/>
    <w:rsid w:val="00836F17"/>
    <w:rsid w:val="00843C57"/>
    <w:rsid w:val="008516E5"/>
    <w:rsid w:val="00853F26"/>
    <w:rsid w:val="00861AEE"/>
    <w:rsid w:val="00867130"/>
    <w:rsid w:val="00871F4E"/>
    <w:rsid w:val="00876115"/>
    <w:rsid w:val="0088296F"/>
    <w:rsid w:val="00882A58"/>
    <w:rsid w:val="00884468"/>
    <w:rsid w:val="00891036"/>
    <w:rsid w:val="008A6AA9"/>
    <w:rsid w:val="008B4035"/>
    <w:rsid w:val="008C1E54"/>
    <w:rsid w:val="008D248F"/>
    <w:rsid w:val="008E65BE"/>
    <w:rsid w:val="008F025D"/>
    <w:rsid w:val="008F3D94"/>
    <w:rsid w:val="008F6579"/>
    <w:rsid w:val="009009E2"/>
    <w:rsid w:val="00903E2F"/>
    <w:rsid w:val="0091414E"/>
    <w:rsid w:val="0092658D"/>
    <w:rsid w:val="00931D3F"/>
    <w:rsid w:val="0093211C"/>
    <w:rsid w:val="00945023"/>
    <w:rsid w:val="009475FB"/>
    <w:rsid w:val="00962756"/>
    <w:rsid w:val="0096783B"/>
    <w:rsid w:val="0098273D"/>
    <w:rsid w:val="00982CF8"/>
    <w:rsid w:val="00985945"/>
    <w:rsid w:val="009A317F"/>
    <w:rsid w:val="009A401E"/>
    <w:rsid w:val="009A6C94"/>
    <w:rsid w:val="009A7813"/>
    <w:rsid w:val="009B2254"/>
    <w:rsid w:val="009B7505"/>
    <w:rsid w:val="009C3CC6"/>
    <w:rsid w:val="009C4B9F"/>
    <w:rsid w:val="009D0BDA"/>
    <w:rsid w:val="009D2206"/>
    <w:rsid w:val="009E5B74"/>
    <w:rsid w:val="009F7F8D"/>
    <w:rsid w:val="00A136E2"/>
    <w:rsid w:val="00A256B0"/>
    <w:rsid w:val="00A25B76"/>
    <w:rsid w:val="00A30BF1"/>
    <w:rsid w:val="00A33767"/>
    <w:rsid w:val="00A36903"/>
    <w:rsid w:val="00A6793A"/>
    <w:rsid w:val="00A82B41"/>
    <w:rsid w:val="00A86328"/>
    <w:rsid w:val="00A905FD"/>
    <w:rsid w:val="00AA57E6"/>
    <w:rsid w:val="00AC5649"/>
    <w:rsid w:val="00AD083C"/>
    <w:rsid w:val="00AD494B"/>
    <w:rsid w:val="00AE1BEF"/>
    <w:rsid w:val="00B00A03"/>
    <w:rsid w:val="00B0380C"/>
    <w:rsid w:val="00B15BDA"/>
    <w:rsid w:val="00B2014A"/>
    <w:rsid w:val="00B21009"/>
    <w:rsid w:val="00B37551"/>
    <w:rsid w:val="00B406C8"/>
    <w:rsid w:val="00B47C34"/>
    <w:rsid w:val="00B52DA6"/>
    <w:rsid w:val="00B60828"/>
    <w:rsid w:val="00B60CEC"/>
    <w:rsid w:val="00B8622A"/>
    <w:rsid w:val="00B87035"/>
    <w:rsid w:val="00B878FF"/>
    <w:rsid w:val="00BA2828"/>
    <w:rsid w:val="00BA4BC9"/>
    <w:rsid w:val="00BB230A"/>
    <w:rsid w:val="00BD1657"/>
    <w:rsid w:val="00BD3752"/>
    <w:rsid w:val="00BD68D1"/>
    <w:rsid w:val="00BE06F7"/>
    <w:rsid w:val="00BE0992"/>
    <w:rsid w:val="00BE20EE"/>
    <w:rsid w:val="00BF67F1"/>
    <w:rsid w:val="00C00A5E"/>
    <w:rsid w:val="00C159F1"/>
    <w:rsid w:val="00C1779A"/>
    <w:rsid w:val="00C245F0"/>
    <w:rsid w:val="00C52305"/>
    <w:rsid w:val="00C57031"/>
    <w:rsid w:val="00C657C3"/>
    <w:rsid w:val="00C82EE5"/>
    <w:rsid w:val="00C93C8B"/>
    <w:rsid w:val="00C966DC"/>
    <w:rsid w:val="00CB7C32"/>
    <w:rsid w:val="00CD4E11"/>
    <w:rsid w:val="00CE72F7"/>
    <w:rsid w:val="00D01AA3"/>
    <w:rsid w:val="00D12C5D"/>
    <w:rsid w:val="00D13662"/>
    <w:rsid w:val="00D20EBB"/>
    <w:rsid w:val="00D24992"/>
    <w:rsid w:val="00D3246A"/>
    <w:rsid w:val="00D532F1"/>
    <w:rsid w:val="00D53623"/>
    <w:rsid w:val="00D55A80"/>
    <w:rsid w:val="00D73B21"/>
    <w:rsid w:val="00D75706"/>
    <w:rsid w:val="00D7681E"/>
    <w:rsid w:val="00D850E1"/>
    <w:rsid w:val="00D96021"/>
    <w:rsid w:val="00DB5E6D"/>
    <w:rsid w:val="00DE3ADC"/>
    <w:rsid w:val="00DE79B1"/>
    <w:rsid w:val="00DF0702"/>
    <w:rsid w:val="00E06DA9"/>
    <w:rsid w:val="00E13FC5"/>
    <w:rsid w:val="00E17CDD"/>
    <w:rsid w:val="00E27434"/>
    <w:rsid w:val="00E47C07"/>
    <w:rsid w:val="00E508D3"/>
    <w:rsid w:val="00E70EFD"/>
    <w:rsid w:val="00E72628"/>
    <w:rsid w:val="00EB142B"/>
    <w:rsid w:val="00EB1F7F"/>
    <w:rsid w:val="00EB552C"/>
    <w:rsid w:val="00EB79F0"/>
    <w:rsid w:val="00EC4B8B"/>
    <w:rsid w:val="00ED4555"/>
    <w:rsid w:val="00ED578B"/>
    <w:rsid w:val="00EE312A"/>
    <w:rsid w:val="00F02084"/>
    <w:rsid w:val="00F11035"/>
    <w:rsid w:val="00F1156E"/>
    <w:rsid w:val="00F125D5"/>
    <w:rsid w:val="00F1755E"/>
    <w:rsid w:val="00F202D5"/>
    <w:rsid w:val="00F25ECE"/>
    <w:rsid w:val="00F3452B"/>
    <w:rsid w:val="00F43D0A"/>
    <w:rsid w:val="00F45509"/>
    <w:rsid w:val="00F46EAE"/>
    <w:rsid w:val="00F53021"/>
    <w:rsid w:val="00F71C90"/>
    <w:rsid w:val="00F96F70"/>
    <w:rsid w:val="00FA20B9"/>
    <w:rsid w:val="00FA308E"/>
    <w:rsid w:val="00FA33CF"/>
    <w:rsid w:val="00FA42DA"/>
    <w:rsid w:val="00FA5846"/>
    <w:rsid w:val="00FA70C5"/>
    <w:rsid w:val="00FB3948"/>
    <w:rsid w:val="00FC3B49"/>
    <w:rsid w:val="00FD3424"/>
    <w:rsid w:val="00FE21C2"/>
    <w:rsid w:val="00FE35DF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70A9"/>
  <w15:docId w15:val="{9F9F7305-D43C-47CD-8A60-CCB54411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4D3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B5E"/>
  </w:style>
  <w:style w:type="paragraph" w:styleId="Pidipagina">
    <w:name w:val="footer"/>
    <w:basedOn w:val="Normale"/>
    <w:link w:val="PidipaginaCarattere"/>
    <w:uiPriority w:val="99"/>
    <w:unhideWhenUsed/>
    <w:rsid w:val="004D3B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B5E"/>
  </w:style>
  <w:style w:type="character" w:styleId="Collegamentoipertestuale">
    <w:name w:val="Hyperlink"/>
    <w:basedOn w:val="Carpredefinitoparagrafo"/>
    <w:uiPriority w:val="99"/>
    <w:unhideWhenUsed/>
    <w:rsid w:val="006A026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66E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D38B1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AC1932"/>
  </w:style>
  <w:style w:type="paragraph" w:styleId="Paragrafoelenco">
    <w:name w:val="List Paragraph"/>
    <w:basedOn w:val="Normale"/>
    <w:uiPriority w:val="34"/>
    <w:qFormat/>
    <w:rsid w:val="00BB57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9E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65F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65F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65F4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5F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5F4F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42058"/>
    <w:pPr>
      <w:spacing w:after="0" w:line="240" w:lineRule="auto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zionenonrisolta">
    <w:name w:val="Unresolved Mention"/>
    <w:basedOn w:val="Carpredefinitoparagrafo"/>
    <w:uiPriority w:val="99"/>
    <w:rsid w:val="00962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hkrZcMlWL0cWW6AyHg4gM2q6qw==">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 Fascilla</dc:creator>
  <cp:lastModifiedBy>Michele Bon</cp:lastModifiedBy>
  <cp:revision>4</cp:revision>
  <dcterms:created xsi:type="dcterms:W3CDTF">2022-09-08T08:17:00Z</dcterms:created>
  <dcterms:modified xsi:type="dcterms:W3CDTF">2022-09-08T09:29:00Z</dcterms:modified>
</cp:coreProperties>
</file>