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4C5C0" w14:textId="4205B612" w:rsidR="00F6234D" w:rsidRPr="00275BEA" w:rsidRDefault="004F0241" w:rsidP="00685B9D">
      <w:pPr>
        <w:shd w:val="clear" w:color="auto" w:fill="FFFFFF"/>
        <w:spacing w:after="120" w:line="264" w:lineRule="auto"/>
        <w:rPr>
          <w:rFonts w:ascii="Calibri" w:eastAsia="Times New Roman" w:hAnsi="Calibri" w:cs="Arial"/>
          <w:b/>
          <w:color w:val="002060"/>
          <w:kern w:val="36"/>
          <w:sz w:val="22"/>
          <w:szCs w:val="22"/>
          <w:lang w:val="it-IT" w:eastAsia="en-GB"/>
        </w:rPr>
      </w:pPr>
      <w:r w:rsidRPr="00275BEA">
        <w:rPr>
          <w:rFonts w:ascii="Calibri" w:eastAsia="Times New Roman" w:hAnsi="Calibri" w:cs="Arial"/>
          <w:b/>
          <w:color w:val="002060"/>
          <w:kern w:val="36"/>
          <w:sz w:val="22"/>
          <w:szCs w:val="22"/>
          <w:lang w:val="it-IT" w:eastAsia="en-GB"/>
        </w:rPr>
        <w:t xml:space="preserve">Schroders - Timori </w:t>
      </w:r>
      <w:r w:rsidR="00F6234D" w:rsidRPr="00275BEA">
        <w:rPr>
          <w:rFonts w:ascii="Calibri" w:eastAsia="Times New Roman" w:hAnsi="Calibri" w:cs="Arial"/>
          <w:b/>
          <w:color w:val="002060"/>
          <w:kern w:val="36"/>
          <w:sz w:val="22"/>
          <w:szCs w:val="22"/>
          <w:lang w:val="it-IT" w:eastAsia="en-GB"/>
        </w:rPr>
        <w:t>e opportunità nei mercati obbligazionari</w:t>
      </w:r>
    </w:p>
    <w:p w14:paraId="09A00A22" w14:textId="1F1F22E9" w:rsidR="00F6234D" w:rsidRPr="00275BEA" w:rsidRDefault="00F6234D" w:rsidP="00685B9D">
      <w:pPr>
        <w:shd w:val="clear" w:color="auto" w:fill="FFFFFF"/>
        <w:spacing w:after="120" w:line="264" w:lineRule="auto"/>
        <w:rPr>
          <w:rFonts w:ascii="Calibri" w:eastAsia="Times New Roman" w:hAnsi="Calibri" w:cs="Arial"/>
          <w:b/>
          <w:color w:val="002060"/>
          <w:kern w:val="36"/>
          <w:sz w:val="22"/>
          <w:szCs w:val="22"/>
          <w:lang w:val="en-US"/>
        </w:rPr>
      </w:pPr>
      <w:r w:rsidRPr="00275BEA">
        <w:rPr>
          <w:rFonts w:ascii="Calibri" w:eastAsia="Times New Roman" w:hAnsi="Calibri" w:cs="Arial"/>
          <w:bCs/>
          <w:color w:val="002060"/>
          <w:kern w:val="36"/>
          <w:sz w:val="22"/>
          <w:szCs w:val="22"/>
          <w:lang w:val="en-US" w:eastAsia="en-GB"/>
        </w:rPr>
        <w:t xml:space="preserve">A cura di </w:t>
      </w:r>
      <w:r w:rsidRPr="00275BEA">
        <w:rPr>
          <w:rFonts w:ascii="Calibri" w:eastAsia="Times New Roman" w:hAnsi="Calibri" w:cs="Arial"/>
          <w:b/>
          <w:color w:val="002060"/>
          <w:kern w:val="36"/>
          <w:sz w:val="22"/>
          <w:szCs w:val="22"/>
          <w:lang w:val="en-US" w:eastAsia="en-GB"/>
        </w:rPr>
        <w:t xml:space="preserve">Andrew Chorlton, Head of Fixed Income, Schroders </w:t>
      </w:r>
    </w:p>
    <w:p w14:paraId="56F5A19F" w14:textId="77777777" w:rsidR="00EB6B38" w:rsidRPr="00275BEA" w:rsidRDefault="00EB6B38" w:rsidP="00685B9D">
      <w:pPr>
        <w:pStyle w:val="Titolo2"/>
        <w:shd w:val="clear" w:color="auto" w:fill="FFFFFF"/>
        <w:spacing w:before="0" w:after="120" w:line="264" w:lineRule="auto"/>
        <w:rPr>
          <w:rStyle w:val="Enfasicorsivo"/>
          <w:rFonts w:ascii="Calibri" w:eastAsiaTheme="minorHAnsi" w:hAnsi="Calibri" w:cs="Arial"/>
          <w:color w:val="2B2B2A"/>
          <w:sz w:val="22"/>
          <w:szCs w:val="22"/>
          <w:lang w:eastAsia="en-GB"/>
        </w:rPr>
      </w:pPr>
    </w:p>
    <w:p w14:paraId="616621B9" w14:textId="3CC314E8" w:rsidR="00B05AA5" w:rsidRPr="00275BEA" w:rsidRDefault="00294EC8" w:rsidP="00685B9D">
      <w:pPr>
        <w:pStyle w:val="NormaleWeb"/>
        <w:shd w:val="clear" w:color="auto" w:fill="FFFFFF"/>
        <w:spacing w:before="0" w:beforeAutospacing="0" w:after="120" w:afterAutospacing="0" w:line="264" w:lineRule="auto"/>
        <w:rPr>
          <w:rFonts w:ascii="Calibri" w:hAnsi="Calibri" w:cs="Arial"/>
          <w:color w:val="2B2B2A"/>
          <w:sz w:val="22"/>
          <w:szCs w:val="22"/>
          <w:lang w:val="it-IT"/>
        </w:rPr>
      </w:pPr>
      <w:r w:rsidRPr="00275BEA">
        <w:rPr>
          <w:rStyle w:val="Enfasicorsivo"/>
          <w:rFonts w:ascii="Calibri" w:eastAsiaTheme="majorEastAsia" w:hAnsi="Calibri" w:cs="Arial"/>
          <w:i w:val="0"/>
          <w:iCs w:val="0"/>
          <w:color w:val="2B2B2A"/>
          <w:sz w:val="22"/>
          <w:szCs w:val="22"/>
          <w:lang w:val="it-IT"/>
        </w:rPr>
        <w:t>Due settimane fa il governo britannico ha presentato il cosiddetto “mini-budget”, cercando di aumentare il deficit del Regno Unito ma offrendo pochi dettagli a sostegno del suo piano.</w:t>
      </w:r>
      <w:r w:rsidR="004F0241" w:rsidRPr="00275BEA">
        <w:rPr>
          <w:rStyle w:val="Enfasicorsivo"/>
          <w:rFonts w:ascii="Calibri" w:hAnsi="Calibri" w:cs="Arial"/>
          <w:i w:val="0"/>
          <w:iCs w:val="0"/>
          <w:color w:val="2B2B2A"/>
          <w:sz w:val="22"/>
          <w:szCs w:val="22"/>
          <w:lang w:val="it-IT"/>
        </w:rPr>
        <w:t xml:space="preserve"> </w:t>
      </w:r>
      <w:r w:rsidR="00892FC5" w:rsidRPr="00275BEA">
        <w:rPr>
          <w:rFonts w:ascii="Calibri" w:hAnsi="Calibri" w:cs="Arial"/>
          <w:color w:val="2B2B2A"/>
          <w:sz w:val="22"/>
          <w:szCs w:val="22"/>
          <w:lang w:val="it-IT"/>
        </w:rPr>
        <w:t>Si tratta di u</w:t>
      </w:r>
      <w:r w:rsidR="001D400E" w:rsidRPr="00275BEA">
        <w:rPr>
          <w:rFonts w:ascii="Calibri" w:hAnsi="Calibri" w:cs="Arial"/>
          <w:color w:val="2B2B2A"/>
          <w:sz w:val="22"/>
          <w:szCs w:val="22"/>
          <w:lang w:val="it-IT"/>
        </w:rPr>
        <w:t xml:space="preserve">na serie di pacchetti, principalmente a sostegno della crisi energetica, </w:t>
      </w:r>
      <w:r w:rsidR="004521AD" w:rsidRPr="00275BEA">
        <w:rPr>
          <w:rFonts w:ascii="Calibri" w:hAnsi="Calibri" w:cs="Arial"/>
          <w:color w:val="2B2B2A"/>
          <w:sz w:val="22"/>
          <w:szCs w:val="22"/>
          <w:lang w:val="it-IT"/>
        </w:rPr>
        <w:t xml:space="preserve">che pone </w:t>
      </w:r>
      <w:r w:rsidR="001D400E" w:rsidRPr="00275BEA">
        <w:rPr>
          <w:rFonts w:ascii="Calibri" w:hAnsi="Calibri" w:cs="Arial"/>
          <w:color w:val="2B2B2A"/>
          <w:sz w:val="22"/>
          <w:szCs w:val="22"/>
          <w:lang w:val="it-IT"/>
        </w:rPr>
        <w:t xml:space="preserve">un </w:t>
      </w:r>
      <w:r w:rsidR="001D400E" w:rsidRPr="00275BEA">
        <w:rPr>
          <w:rFonts w:ascii="Calibri" w:hAnsi="Calibri" w:cs="Arial"/>
          <w:i/>
          <w:color w:val="2B2B2A"/>
          <w:sz w:val="22"/>
          <w:szCs w:val="22"/>
          <w:lang w:val="it-IT"/>
        </w:rPr>
        <w:t xml:space="preserve">price </w:t>
      </w:r>
      <w:proofErr w:type="spellStart"/>
      <w:r w:rsidR="001D400E" w:rsidRPr="00275BEA">
        <w:rPr>
          <w:rFonts w:ascii="Calibri" w:hAnsi="Calibri" w:cs="Arial"/>
          <w:i/>
          <w:color w:val="2B2B2A"/>
          <w:sz w:val="22"/>
          <w:szCs w:val="22"/>
          <w:lang w:val="it-IT"/>
        </w:rPr>
        <w:t>cap</w:t>
      </w:r>
      <w:proofErr w:type="spellEnd"/>
      <w:r w:rsidR="001D400E" w:rsidRPr="00275BEA">
        <w:rPr>
          <w:rFonts w:ascii="Calibri" w:hAnsi="Calibri" w:cs="Arial"/>
          <w:i/>
          <w:color w:val="2B2B2A"/>
          <w:sz w:val="22"/>
          <w:szCs w:val="22"/>
          <w:lang w:val="it-IT"/>
        </w:rPr>
        <w:t xml:space="preserve"> </w:t>
      </w:r>
      <w:r w:rsidR="001D400E" w:rsidRPr="00275BEA">
        <w:rPr>
          <w:rFonts w:ascii="Calibri" w:hAnsi="Calibri" w:cs="Arial"/>
          <w:color w:val="2B2B2A"/>
          <w:sz w:val="22"/>
          <w:szCs w:val="22"/>
          <w:lang w:val="it-IT"/>
        </w:rPr>
        <w:t xml:space="preserve">per l’energia per i consumatori e una serie di tagli alle tasse, </w:t>
      </w:r>
      <w:r w:rsidR="004521AD" w:rsidRPr="00275BEA">
        <w:rPr>
          <w:rFonts w:ascii="Calibri" w:hAnsi="Calibri" w:cs="Arial"/>
          <w:color w:val="2B2B2A"/>
          <w:sz w:val="22"/>
          <w:szCs w:val="22"/>
          <w:lang w:val="it-IT"/>
        </w:rPr>
        <w:t xml:space="preserve">misure </w:t>
      </w:r>
      <w:r w:rsidR="001D400E" w:rsidRPr="00275BEA">
        <w:rPr>
          <w:rFonts w:ascii="Calibri" w:hAnsi="Calibri" w:cs="Arial"/>
          <w:color w:val="2B2B2A"/>
          <w:sz w:val="22"/>
          <w:szCs w:val="22"/>
          <w:lang w:val="it-IT"/>
        </w:rPr>
        <w:t xml:space="preserve">che hanno portato a un aumento del deficit. </w:t>
      </w:r>
    </w:p>
    <w:p w14:paraId="716028AE" w14:textId="0BB1E97C" w:rsidR="00B05AA5" w:rsidRPr="00275BEA" w:rsidRDefault="001D400E" w:rsidP="00685B9D">
      <w:pPr>
        <w:pStyle w:val="NormaleWeb"/>
        <w:shd w:val="clear" w:color="auto" w:fill="FFFFFF"/>
        <w:spacing w:before="0" w:beforeAutospacing="0" w:after="120" w:afterAutospacing="0" w:line="264" w:lineRule="auto"/>
        <w:rPr>
          <w:rFonts w:ascii="Calibri" w:eastAsia="Times New Roman" w:hAnsi="Calibri" w:cs="Arial"/>
          <w:color w:val="2B2B2A"/>
          <w:sz w:val="22"/>
          <w:szCs w:val="22"/>
          <w:u w:val="single"/>
          <w:lang w:val="it-IT" w:eastAsia="en-US"/>
        </w:rPr>
      </w:pPr>
      <w:r w:rsidRPr="00275BEA">
        <w:rPr>
          <w:rFonts w:ascii="Calibri" w:hAnsi="Calibri" w:cs="Arial"/>
          <w:color w:val="2B2B2A"/>
          <w:sz w:val="22"/>
          <w:szCs w:val="22"/>
          <w:lang w:val="it-IT"/>
        </w:rPr>
        <w:t>Tra gli investitori obbligazionari serpeggiava il timore che il tagl</w:t>
      </w:r>
      <w:r w:rsidR="00645759" w:rsidRPr="00275BEA">
        <w:rPr>
          <w:rFonts w:ascii="Calibri" w:hAnsi="Calibri" w:cs="Arial"/>
          <w:color w:val="2B2B2A"/>
          <w:sz w:val="22"/>
          <w:szCs w:val="22"/>
          <w:lang w:val="it-IT"/>
        </w:rPr>
        <w:t xml:space="preserve">io delle tasse non finanziato e </w:t>
      </w:r>
      <w:r w:rsidRPr="00275BEA">
        <w:rPr>
          <w:rFonts w:ascii="Calibri" w:hAnsi="Calibri" w:cs="Arial"/>
          <w:color w:val="2B2B2A"/>
          <w:sz w:val="22"/>
          <w:szCs w:val="22"/>
          <w:lang w:val="it-IT"/>
        </w:rPr>
        <w:t>l’intervento sull’energia comportassero un aumento del prezzo che il mercato obbligazionario avrebbe richiesto per prestare denaro al governo britannico – che è essenzialmente ciò che un’obbligazione</w:t>
      </w:r>
      <w:r w:rsidR="0071108C" w:rsidRPr="00275BEA">
        <w:rPr>
          <w:rFonts w:ascii="Calibri" w:hAnsi="Calibri" w:cs="Arial"/>
          <w:color w:val="2B2B2A"/>
          <w:sz w:val="22"/>
          <w:szCs w:val="22"/>
          <w:lang w:val="it-IT"/>
        </w:rPr>
        <w:t xml:space="preserve"> rappresenta</w:t>
      </w:r>
      <w:r w:rsidRPr="00275BEA">
        <w:rPr>
          <w:rFonts w:ascii="Calibri" w:hAnsi="Calibri" w:cs="Arial"/>
          <w:color w:val="2B2B2A"/>
          <w:sz w:val="22"/>
          <w:szCs w:val="22"/>
          <w:lang w:val="it-IT"/>
        </w:rPr>
        <w:t>. Ritengo che l’entità di questo aumento – visto che il governo non aveva prodotto ulteriori previsioni a sostegno del suo piano – sia stata molto più forte di quanto ci si aspettasse.</w:t>
      </w:r>
      <w:r w:rsidR="00B05AA5" w:rsidRPr="00275BEA">
        <w:rPr>
          <w:rFonts w:ascii="Calibri" w:eastAsia="Times New Roman" w:hAnsi="Calibri" w:cs="Arial"/>
          <w:color w:val="2B2B2A"/>
          <w:sz w:val="22"/>
          <w:szCs w:val="22"/>
          <w:u w:val="single"/>
          <w:lang w:val="it-IT" w:eastAsia="en-US"/>
        </w:rPr>
        <w:t xml:space="preserve"> </w:t>
      </w:r>
    </w:p>
    <w:p w14:paraId="2E3F4848" w14:textId="2305CFD7" w:rsidR="00B05AA5" w:rsidRPr="00275BEA" w:rsidRDefault="006B4BEF" w:rsidP="00685B9D">
      <w:pPr>
        <w:pStyle w:val="NormaleWeb"/>
        <w:shd w:val="clear" w:color="auto" w:fill="FFFFFF"/>
        <w:spacing w:before="0" w:beforeAutospacing="0" w:after="120" w:afterAutospacing="0" w:line="264" w:lineRule="auto"/>
        <w:rPr>
          <w:rFonts w:ascii="Calibri" w:eastAsia="Times New Roman" w:hAnsi="Calibri" w:cs="Arial"/>
          <w:color w:val="2B2B2A"/>
          <w:sz w:val="22"/>
          <w:szCs w:val="22"/>
          <w:u w:val="single"/>
          <w:lang w:val="it-IT" w:eastAsia="en-US"/>
        </w:rPr>
      </w:pPr>
      <w:r w:rsidRPr="00275BEA">
        <w:rPr>
          <w:rFonts w:ascii="Calibri" w:hAnsi="Calibri" w:cs="Arial"/>
          <w:color w:val="2B2B2A"/>
          <w:sz w:val="22"/>
          <w:szCs w:val="22"/>
          <w:lang w:val="it-IT"/>
        </w:rPr>
        <w:t xml:space="preserve">Acquistando titoli di Stato britannici, la </w:t>
      </w:r>
      <w:r w:rsidR="004521AD" w:rsidRPr="00275BEA">
        <w:rPr>
          <w:rFonts w:ascii="Calibri" w:hAnsi="Calibri" w:cs="Arial"/>
          <w:color w:val="2B2B2A"/>
          <w:sz w:val="22"/>
          <w:szCs w:val="22"/>
          <w:lang w:val="it-IT"/>
        </w:rPr>
        <w:t xml:space="preserve">Bank of </w:t>
      </w:r>
      <w:proofErr w:type="spellStart"/>
      <w:r w:rsidR="004521AD" w:rsidRPr="00275BEA">
        <w:rPr>
          <w:rFonts w:ascii="Calibri" w:hAnsi="Calibri" w:cs="Arial"/>
          <w:color w:val="2B2B2A"/>
          <w:sz w:val="22"/>
          <w:szCs w:val="22"/>
          <w:lang w:val="it-IT"/>
        </w:rPr>
        <w:t>England</w:t>
      </w:r>
      <w:proofErr w:type="spellEnd"/>
      <w:r w:rsidR="004521AD" w:rsidRPr="00275BEA">
        <w:rPr>
          <w:rFonts w:ascii="Calibri" w:hAnsi="Calibri" w:cs="Arial"/>
          <w:color w:val="2B2B2A"/>
          <w:sz w:val="22"/>
          <w:szCs w:val="22"/>
          <w:lang w:val="it-IT"/>
        </w:rPr>
        <w:t>, in questo caso, ha reagito a un pericolo molto chiaro e attuale che riguardava una particolare parte del mercato per un motivo molto specifico. È possibile che l’intervento della scorsa settimana sia stato sufficiente, anche perché un rialzo d’emergenza dei tassi avrebbe probabilmente dato un segnale sbagliato</w:t>
      </w:r>
      <w:r w:rsidR="00EB6B38" w:rsidRPr="00275BEA">
        <w:rPr>
          <w:rFonts w:ascii="Calibri" w:hAnsi="Calibri" w:cs="Arial"/>
          <w:color w:val="2B2B2A"/>
          <w:sz w:val="22"/>
          <w:szCs w:val="22"/>
          <w:lang w:val="it-IT"/>
        </w:rPr>
        <w:t>.</w:t>
      </w:r>
      <w:r w:rsidR="004521AD" w:rsidRPr="00275BEA" w:rsidDel="00BC104B">
        <w:rPr>
          <w:rFonts w:ascii="Calibri" w:hAnsi="Calibri" w:cs="Arial"/>
          <w:color w:val="2B2B2A"/>
          <w:sz w:val="22"/>
          <w:szCs w:val="22"/>
          <w:lang w:val="it-IT"/>
        </w:rPr>
        <w:t xml:space="preserve"> </w:t>
      </w:r>
      <w:r w:rsidR="00520B46" w:rsidRPr="00275BEA">
        <w:rPr>
          <w:rFonts w:ascii="Calibri" w:hAnsi="Calibri" w:cs="Arial"/>
          <w:color w:val="2B2B2A"/>
          <w:sz w:val="22"/>
          <w:szCs w:val="22"/>
          <w:lang w:val="it-IT"/>
        </w:rPr>
        <w:t>Il mercato</w:t>
      </w:r>
      <w:r w:rsidR="004521AD" w:rsidRPr="00275BEA">
        <w:rPr>
          <w:rFonts w:ascii="Calibri" w:hAnsi="Calibri" w:cs="Arial"/>
          <w:color w:val="2B2B2A"/>
          <w:sz w:val="22"/>
          <w:szCs w:val="22"/>
          <w:lang w:val="it-IT"/>
        </w:rPr>
        <w:t>, tuttavia,</w:t>
      </w:r>
      <w:r w:rsidR="00520B46" w:rsidRPr="00275BEA">
        <w:rPr>
          <w:rFonts w:ascii="Calibri" w:hAnsi="Calibri" w:cs="Arial"/>
          <w:color w:val="2B2B2A"/>
          <w:sz w:val="22"/>
          <w:szCs w:val="22"/>
          <w:lang w:val="it-IT"/>
        </w:rPr>
        <w:t xml:space="preserve"> </w:t>
      </w:r>
      <w:r w:rsidR="00BC104B" w:rsidRPr="00275BEA">
        <w:rPr>
          <w:rFonts w:ascii="Calibri" w:hAnsi="Calibri" w:cs="Arial"/>
          <w:color w:val="2B2B2A"/>
          <w:sz w:val="22"/>
          <w:szCs w:val="22"/>
          <w:lang w:val="it-IT"/>
        </w:rPr>
        <w:t>ritiene</w:t>
      </w:r>
      <w:r w:rsidR="00520B46" w:rsidRPr="00275BEA">
        <w:rPr>
          <w:rFonts w:ascii="Calibri" w:hAnsi="Calibri" w:cs="Arial"/>
          <w:color w:val="2B2B2A"/>
          <w:sz w:val="22"/>
          <w:szCs w:val="22"/>
          <w:lang w:val="it-IT"/>
        </w:rPr>
        <w:t xml:space="preserve"> che la </w:t>
      </w:r>
      <w:proofErr w:type="spellStart"/>
      <w:r w:rsidR="00520B46" w:rsidRPr="00275BEA">
        <w:rPr>
          <w:rFonts w:ascii="Calibri" w:hAnsi="Calibri" w:cs="Arial"/>
          <w:color w:val="2B2B2A"/>
          <w:sz w:val="22"/>
          <w:szCs w:val="22"/>
          <w:lang w:val="it-IT"/>
        </w:rPr>
        <w:t>BoE</w:t>
      </w:r>
      <w:proofErr w:type="spellEnd"/>
      <w:r w:rsidR="00520B46" w:rsidRPr="00275BEA">
        <w:rPr>
          <w:rFonts w:ascii="Calibri" w:hAnsi="Calibri" w:cs="Arial"/>
          <w:color w:val="2B2B2A"/>
          <w:sz w:val="22"/>
          <w:szCs w:val="22"/>
          <w:lang w:val="it-IT"/>
        </w:rPr>
        <w:t xml:space="preserve"> continu</w:t>
      </w:r>
      <w:r w:rsidR="004521AD" w:rsidRPr="00275BEA">
        <w:rPr>
          <w:rFonts w:ascii="Calibri" w:hAnsi="Calibri" w:cs="Arial"/>
          <w:color w:val="2B2B2A"/>
          <w:sz w:val="22"/>
          <w:szCs w:val="22"/>
          <w:lang w:val="it-IT"/>
        </w:rPr>
        <w:t>erà</w:t>
      </w:r>
      <w:r w:rsidR="00520B46" w:rsidRPr="00275BEA">
        <w:rPr>
          <w:rFonts w:ascii="Calibri" w:hAnsi="Calibri" w:cs="Arial"/>
          <w:color w:val="2B2B2A"/>
          <w:sz w:val="22"/>
          <w:szCs w:val="22"/>
          <w:lang w:val="it-IT"/>
        </w:rPr>
        <w:t xml:space="preserve"> ad aumentare i tassi</w:t>
      </w:r>
      <w:r w:rsidR="004521AD" w:rsidRPr="00275BEA">
        <w:rPr>
          <w:rFonts w:ascii="Calibri" w:hAnsi="Calibri" w:cs="Arial"/>
          <w:color w:val="2B2B2A"/>
          <w:sz w:val="22"/>
          <w:szCs w:val="22"/>
          <w:lang w:val="it-IT"/>
        </w:rPr>
        <w:t xml:space="preserve"> perché n</w:t>
      </w:r>
      <w:r w:rsidR="00520B46" w:rsidRPr="00275BEA">
        <w:rPr>
          <w:rFonts w:ascii="Calibri" w:hAnsi="Calibri" w:cs="Arial"/>
          <w:color w:val="2B2B2A"/>
          <w:sz w:val="22"/>
          <w:szCs w:val="22"/>
          <w:lang w:val="it-IT"/>
        </w:rPr>
        <w:t xml:space="preserve">on credo sia cambiata la determinazione della Banca Centrale a battere l’inflazione. </w:t>
      </w:r>
    </w:p>
    <w:p w14:paraId="5C839193" w14:textId="40900CC9" w:rsidR="00B05AA5" w:rsidRPr="00275BEA" w:rsidRDefault="00B87CB4" w:rsidP="00685B9D">
      <w:pPr>
        <w:pStyle w:val="NormaleWeb"/>
        <w:shd w:val="clear" w:color="auto" w:fill="FFFFFF"/>
        <w:spacing w:before="0" w:beforeAutospacing="0" w:after="120" w:afterAutospacing="0" w:line="264" w:lineRule="auto"/>
        <w:rPr>
          <w:rFonts w:ascii="Calibri" w:eastAsia="Times New Roman" w:hAnsi="Calibri" w:cs="Arial"/>
          <w:color w:val="2B2B2A"/>
          <w:sz w:val="22"/>
          <w:szCs w:val="22"/>
          <w:u w:val="single"/>
          <w:lang w:val="it-IT" w:eastAsia="en-US"/>
        </w:rPr>
      </w:pPr>
      <w:r w:rsidRPr="00275BEA">
        <w:rPr>
          <w:rStyle w:val="Enfasigrassetto"/>
          <w:rFonts w:ascii="Calibri" w:eastAsia="Times New Roman" w:hAnsi="Calibri" w:cs="Arial"/>
          <w:b w:val="0"/>
          <w:bCs w:val="0"/>
          <w:color w:val="2B2B2A"/>
          <w:sz w:val="22"/>
          <w:szCs w:val="22"/>
          <w:lang w:val="it-IT"/>
        </w:rPr>
        <w:t xml:space="preserve">Sebbene la sterlina e i mercati obbligazionari britannici si siano per ora stabilizzati, i movimenti della scorsa settimana sono avvenuti in concomitanza con un nuovo calo dei mercati azionari di tutto il mondo e un ulteriore rafforzamento del dollaro. </w:t>
      </w:r>
      <w:r w:rsidR="0074128F" w:rsidRPr="00275BEA">
        <w:rPr>
          <w:rFonts w:ascii="Calibri" w:hAnsi="Calibri" w:cs="Arial"/>
          <w:color w:val="2B2B2A"/>
          <w:sz w:val="22"/>
          <w:szCs w:val="22"/>
          <w:lang w:val="it-IT"/>
        </w:rPr>
        <w:t xml:space="preserve">Più in generale, il mercato è alle prese con la lotta tra l’idea che l’inflazione sia radicata e destinata a perdurare, e quella di un suo rallentamento imminente. Gli investitori sono alla ricerca di segnali che indichino che l’inflazione non è consolidata: si buttano su qualsiasi indicatore </w:t>
      </w:r>
      <w:r w:rsidR="00BC104B" w:rsidRPr="00275BEA">
        <w:rPr>
          <w:rFonts w:ascii="Calibri" w:hAnsi="Calibri" w:cs="Arial"/>
          <w:color w:val="2B2B2A"/>
          <w:sz w:val="22"/>
          <w:szCs w:val="22"/>
          <w:lang w:val="it-IT"/>
        </w:rPr>
        <w:t>che vada in questa direzione</w:t>
      </w:r>
      <w:r w:rsidR="0074128F" w:rsidRPr="00275BEA">
        <w:rPr>
          <w:rFonts w:ascii="Calibri" w:hAnsi="Calibri" w:cs="Arial"/>
          <w:color w:val="2B2B2A"/>
          <w:sz w:val="22"/>
          <w:szCs w:val="22"/>
          <w:lang w:val="it-IT"/>
        </w:rPr>
        <w:t xml:space="preserve"> e poi, quando rimangono delusi, si verificano brusche inversioni di tendenza. È un mercato volatile, perché siamo in una zona in cui il punto di </w:t>
      </w:r>
      <w:r w:rsidR="00EB6B38" w:rsidRPr="00275BEA">
        <w:rPr>
          <w:rFonts w:ascii="Calibri" w:hAnsi="Calibri" w:cs="Arial"/>
          <w:color w:val="2B2B2A"/>
          <w:sz w:val="22"/>
          <w:szCs w:val="22"/>
          <w:lang w:val="it-IT"/>
        </w:rPr>
        <w:t xml:space="preserve">flesso </w:t>
      </w:r>
      <w:r w:rsidR="0074128F" w:rsidRPr="00275BEA">
        <w:rPr>
          <w:rFonts w:ascii="Calibri" w:hAnsi="Calibri" w:cs="Arial"/>
          <w:color w:val="2B2B2A"/>
          <w:sz w:val="22"/>
          <w:szCs w:val="22"/>
          <w:lang w:val="it-IT"/>
        </w:rPr>
        <w:t xml:space="preserve">è vicino, ma non sappiamo </w:t>
      </w:r>
      <w:r w:rsidR="0074128F" w:rsidRPr="00275BEA">
        <w:rPr>
          <w:rFonts w:ascii="Calibri" w:hAnsi="Calibri" w:cs="Arial"/>
          <w:iCs/>
          <w:color w:val="2B2B2A"/>
          <w:sz w:val="22"/>
          <w:szCs w:val="22"/>
          <w:lang w:val="it-IT"/>
        </w:rPr>
        <w:t>quanto</w:t>
      </w:r>
      <w:r w:rsidR="0074128F" w:rsidRPr="00275BEA">
        <w:rPr>
          <w:rFonts w:ascii="Calibri" w:hAnsi="Calibri" w:cs="Arial"/>
          <w:color w:val="2B2B2A"/>
          <w:sz w:val="22"/>
          <w:szCs w:val="22"/>
          <w:lang w:val="it-IT"/>
        </w:rPr>
        <w:t xml:space="preserve"> vicino sia.</w:t>
      </w:r>
    </w:p>
    <w:p w14:paraId="2AE4EEBD" w14:textId="3103307E" w:rsidR="00B05AA5" w:rsidRPr="00275BEA" w:rsidRDefault="00D11A15" w:rsidP="00685B9D">
      <w:pPr>
        <w:pStyle w:val="NormaleWeb"/>
        <w:shd w:val="clear" w:color="auto" w:fill="FFFFFF"/>
        <w:spacing w:before="0" w:beforeAutospacing="0" w:after="120" w:afterAutospacing="0" w:line="264" w:lineRule="auto"/>
        <w:rPr>
          <w:rFonts w:ascii="Calibri" w:eastAsia="Times New Roman" w:hAnsi="Calibri" w:cs="Arial"/>
          <w:color w:val="2B2B2A"/>
          <w:sz w:val="22"/>
          <w:szCs w:val="22"/>
          <w:u w:val="single"/>
          <w:lang w:val="it-IT" w:eastAsia="en-US"/>
        </w:rPr>
      </w:pPr>
      <w:r w:rsidRPr="00275BEA">
        <w:rPr>
          <w:rStyle w:val="Enfasigrassetto"/>
          <w:rFonts w:ascii="Calibri" w:eastAsia="Times New Roman" w:hAnsi="Calibri" w:cs="Arial"/>
          <w:b w:val="0"/>
          <w:bCs w:val="0"/>
          <w:color w:val="2B2B2A"/>
          <w:sz w:val="22"/>
          <w:szCs w:val="22"/>
          <w:lang w:val="it-IT" w:eastAsia="en-US"/>
        </w:rPr>
        <w:t xml:space="preserve">Andando </w:t>
      </w:r>
      <w:r w:rsidR="00BC104B" w:rsidRPr="00275BEA">
        <w:rPr>
          <w:rStyle w:val="Enfasigrassetto"/>
          <w:rFonts w:ascii="Calibri" w:eastAsia="Times New Roman" w:hAnsi="Calibri" w:cs="Arial"/>
          <w:b w:val="0"/>
          <w:bCs w:val="0"/>
          <w:color w:val="2B2B2A"/>
          <w:sz w:val="22"/>
          <w:szCs w:val="22"/>
          <w:lang w:val="it-IT" w:eastAsia="en-US"/>
        </w:rPr>
        <w:t>oltreoceano,</w:t>
      </w:r>
      <w:r w:rsidR="00576D45" w:rsidRPr="00275BEA">
        <w:rPr>
          <w:rFonts w:ascii="Calibri" w:hAnsi="Calibri" w:cs="Arial"/>
          <w:color w:val="2B2B2A"/>
          <w:sz w:val="22"/>
          <w:szCs w:val="22"/>
          <w:lang w:val="it-IT"/>
        </w:rPr>
        <w:t xml:space="preserve"> </w:t>
      </w:r>
      <w:r w:rsidR="004D1373" w:rsidRPr="00275BEA">
        <w:rPr>
          <w:rFonts w:ascii="Calibri" w:hAnsi="Calibri" w:cs="Arial"/>
          <w:color w:val="2B2B2A"/>
          <w:sz w:val="22"/>
          <w:szCs w:val="22"/>
          <w:lang w:val="it-IT"/>
        </w:rPr>
        <w:t>i mercati hanno</w:t>
      </w:r>
      <w:r w:rsidR="00576D45" w:rsidRPr="00275BEA">
        <w:rPr>
          <w:rFonts w:ascii="Calibri" w:hAnsi="Calibri" w:cs="Arial"/>
          <w:color w:val="2B2B2A"/>
          <w:sz w:val="22"/>
          <w:szCs w:val="22"/>
          <w:lang w:val="it-IT"/>
        </w:rPr>
        <w:t xml:space="preserve"> bisogno </w:t>
      </w:r>
      <w:r w:rsidR="00BC104B" w:rsidRPr="00275BEA">
        <w:rPr>
          <w:rFonts w:ascii="Calibri" w:hAnsi="Calibri" w:cs="Arial"/>
          <w:color w:val="2B2B2A"/>
          <w:sz w:val="22"/>
          <w:szCs w:val="22"/>
          <w:lang w:val="it-IT"/>
        </w:rPr>
        <w:t>di un</w:t>
      </w:r>
      <w:r w:rsidR="00576D45" w:rsidRPr="00275BEA">
        <w:rPr>
          <w:rFonts w:ascii="Calibri" w:hAnsi="Calibri" w:cs="Arial"/>
          <w:color w:val="2B2B2A"/>
          <w:sz w:val="22"/>
          <w:szCs w:val="22"/>
          <w:lang w:val="it-IT"/>
        </w:rPr>
        <w:t xml:space="preserve"> dollaro </w:t>
      </w:r>
      <w:r w:rsidR="00BC104B" w:rsidRPr="00275BEA">
        <w:rPr>
          <w:rFonts w:ascii="Calibri" w:hAnsi="Calibri" w:cs="Arial"/>
          <w:color w:val="2B2B2A"/>
          <w:sz w:val="22"/>
          <w:szCs w:val="22"/>
          <w:lang w:val="it-IT"/>
        </w:rPr>
        <w:t xml:space="preserve">stabile </w:t>
      </w:r>
      <w:r w:rsidR="00576D45" w:rsidRPr="00275BEA">
        <w:rPr>
          <w:rFonts w:ascii="Calibri" w:hAnsi="Calibri" w:cs="Arial"/>
          <w:color w:val="2B2B2A"/>
          <w:sz w:val="22"/>
          <w:szCs w:val="22"/>
          <w:lang w:val="it-IT"/>
        </w:rPr>
        <w:t xml:space="preserve">per poter ottenere un’apertura, in particolare nei mercati emergenti, sia per l’azionario sia per il </w:t>
      </w:r>
      <w:proofErr w:type="spellStart"/>
      <w:r w:rsidR="00576D45" w:rsidRPr="00275BEA">
        <w:rPr>
          <w:rFonts w:ascii="Calibri" w:hAnsi="Calibri" w:cs="Arial"/>
          <w:color w:val="2B2B2A"/>
          <w:sz w:val="22"/>
          <w:szCs w:val="22"/>
          <w:lang w:val="it-IT"/>
        </w:rPr>
        <w:t>fixed</w:t>
      </w:r>
      <w:proofErr w:type="spellEnd"/>
      <w:r w:rsidR="00576D45" w:rsidRPr="00275BEA">
        <w:rPr>
          <w:rFonts w:ascii="Calibri" w:hAnsi="Calibri" w:cs="Arial"/>
          <w:color w:val="2B2B2A"/>
          <w:sz w:val="22"/>
          <w:szCs w:val="22"/>
          <w:lang w:val="it-IT"/>
        </w:rPr>
        <w:t xml:space="preserve"> </w:t>
      </w:r>
      <w:proofErr w:type="spellStart"/>
      <w:r w:rsidR="00576D45" w:rsidRPr="00275BEA">
        <w:rPr>
          <w:rFonts w:ascii="Calibri" w:hAnsi="Calibri" w:cs="Arial"/>
          <w:color w:val="2B2B2A"/>
          <w:sz w:val="22"/>
          <w:szCs w:val="22"/>
          <w:lang w:val="it-IT"/>
        </w:rPr>
        <w:t>income</w:t>
      </w:r>
      <w:proofErr w:type="spellEnd"/>
      <w:r w:rsidR="00576D45" w:rsidRPr="00275BEA">
        <w:rPr>
          <w:rFonts w:ascii="Calibri" w:hAnsi="Calibri" w:cs="Arial"/>
          <w:color w:val="2B2B2A"/>
          <w:sz w:val="22"/>
          <w:szCs w:val="22"/>
          <w:lang w:val="it-IT"/>
        </w:rPr>
        <w:t xml:space="preserve">. </w:t>
      </w:r>
      <w:r w:rsidR="000F1E8F" w:rsidRPr="00275BEA">
        <w:rPr>
          <w:rFonts w:ascii="Calibri" w:hAnsi="Calibri" w:cs="Arial"/>
          <w:color w:val="2B2B2A"/>
          <w:sz w:val="22"/>
          <w:szCs w:val="22"/>
          <w:lang w:val="it-IT"/>
        </w:rPr>
        <w:t>E</w:t>
      </w:r>
      <w:r w:rsidR="00576D45" w:rsidRPr="00275BEA">
        <w:rPr>
          <w:rFonts w:ascii="Calibri" w:hAnsi="Calibri" w:cs="Arial"/>
          <w:color w:val="2B2B2A"/>
          <w:sz w:val="22"/>
          <w:szCs w:val="22"/>
          <w:lang w:val="it-IT"/>
        </w:rPr>
        <w:t xml:space="preserve">ntrambi </w:t>
      </w:r>
      <w:r w:rsidR="000F1E8F" w:rsidRPr="00275BEA">
        <w:rPr>
          <w:rFonts w:ascii="Calibri" w:hAnsi="Calibri" w:cs="Arial"/>
          <w:color w:val="2B2B2A"/>
          <w:sz w:val="22"/>
          <w:szCs w:val="22"/>
          <w:lang w:val="it-IT"/>
        </w:rPr>
        <w:t xml:space="preserve">gli asset </w:t>
      </w:r>
      <w:r w:rsidR="00576D45" w:rsidRPr="00275BEA">
        <w:rPr>
          <w:rFonts w:ascii="Calibri" w:hAnsi="Calibri" w:cs="Arial"/>
          <w:color w:val="2B2B2A"/>
          <w:sz w:val="22"/>
          <w:szCs w:val="22"/>
          <w:lang w:val="it-IT"/>
        </w:rPr>
        <w:t xml:space="preserve">trarrebbero beneficio da un dollaro stabile, piuttosto che da un dollaro che sembra aumentare sempre di più. I differenziali dei tassi d’interesse tra i Paesi si stanno riducendo, e questo dovrebbe sostenere l’euro e la sterlina, ma la forza del dollaro è una tendenza che va avanti da molto tempo e </w:t>
      </w:r>
      <w:r w:rsidR="000F1E8F" w:rsidRPr="00275BEA">
        <w:rPr>
          <w:rFonts w:ascii="Calibri" w:hAnsi="Calibri" w:cs="Arial"/>
          <w:color w:val="2B2B2A"/>
          <w:sz w:val="22"/>
          <w:szCs w:val="22"/>
          <w:lang w:val="it-IT"/>
        </w:rPr>
        <w:t>non sembra destinata a esaurirsi</w:t>
      </w:r>
      <w:r w:rsidR="00576D45" w:rsidRPr="00275BEA">
        <w:rPr>
          <w:rFonts w:ascii="Calibri" w:hAnsi="Calibri" w:cs="Arial"/>
          <w:color w:val="2B2B2A"/>
          <w:sz w:val="22"/>
          <w:szCs w:val="22"/>
          <w:lang w:val="it-IT"/>
        </w:rPr>
        <w:t>.</w:t>
      </w:r>
      <w:r w:rsidR="00B05AA5" w:rsidRPr="00275BEA">
        <w:rPr>
          <w:rFonts w:ascii="Calibri" w:eastAsia="Times New Roman" w:hAnsi="Calibri" w:cs="Arial"/>
          <w:color w:val="2B2B2A"/>
          <w:sz w:val="22"/>
          <w:szCs w:val="22"/>
          <w:u w:val="single"/>
          <w:lang w:val="it-IT" w:eastAsia="en-US"/>
        </w:rPr>
        <w:t xml:space="preserve"> </w:t>
      </w:r>
    </w:p>
    <w:p w14:paraId="0DF920BB" w14:textId="3F1A71D7" w:rsidR="00B05AA5" w:rsidRPr="00275BEA" w:rsidRDefault="000F1E8F" w:rsidP="00685B9D">
      <w:pPr>
        <w:pStyle w:val="NormaleWeb"/>
        <w:shd w:val="clear" w:color="auto" w:fill="FFFFFF"/>
        <w:spacing w:before="0" w:beforeAutospacing="0" w:after="120" w:afterAutospacing="0" w:line="264" w:lineRule="auto"/>
        <w:rPr>
          <w:rStyle w:val="Enfasigrassetto"/>
          <w:rFonts w:ascii="Calibri" w:eastAsia="Times New Roman" w:hAnsi="Calibri" w:cs="Arial"/>
          <w:b w:val="0"/>
          <w:bCs w:val="0"/>
          <w:color w:val="2B2B2A"/>
          <w:sz w:val="22"/>
          <w:szCs w:val="22"/>
          <w:u w:val="single"/>
          <w:lang w:val="it-IT" w:eastAsia="en-US"/>
        </w:rPr>
      </w:pPr>
      <w:r w:rsidRPr="00275BEA">
        <w:rPr>
          <w:rStyle w:val="Enfasigrassetto"/>
          <w:rFonts w:ascii="Calibri" w:eastAsia="Times New Roman" w:hAnsi="Calibri" w:cs="Arial"/>
          <w:b w:val="0"/>
          <w:bCs w:val="0"/>
          <w:color w:val="2B2B2A"/>
          <w:sz w:val="22"/>
          <w:szCs w:val="22"/>
          <w:u w:val="single"/>
          <w:lang w:val="it-IT" w:eastAsia="en-US"/>
        </w:rPr>
        <w:t>Dove trovare opportunità</w:t>
      </w:r>
    </w:p>
    <w:p w14:paraId="5331B060" w14:textId="5763C7FC" w:rsidR="00B05AA5" w:rsidRPr="00275BEA" w:rsidRDefault="00D172BB" w:rsidP="00685B9D">
      <w:pPr>
        <w:pStyle w:val="NormaleWeb"/>
        <w:shd w:val="clear" w:color="auto" w:fill="FFFFFF"/>
        <w:spacing w:before="0" w:beforeAutospacing="0" w:after="120" w:afterAutospacing="0" w:line="264" w:lineRule="auto"/>
        <w:rPr>
          <w:rFonts w:ascii="Calibri" w:hAnsi="Calibri" w:cs="Arial"/>
          <w:color w:val="2B2B2A"/>
          <w:sz w:val="22"/>
          <w:szCs w:val="22"/>
          <w:lang w:val="it-IT"/>
        </w:rPr>
      </w:pPr>
      <w:r w:rsidRPr="00275BEA">
        <w:rPr>
          <w:rFonts w:ascii="Calibri" w:hAnsi="Calibri" w:cs="Arial"/>
          <w:color w:val="2B2B2A"/>
          <w:sz w:val="22"/>
          <w:szCs w:val="22"/>
          <w:lang w:val="it-IT"/>
        </w:rPr>
        <w:t xml:space="preserve">Gli Stati Uniti, ovviamente, sono il mercato più liquido e </w:t>
      </w:r>
      <w:r w:rsidR="00D11A15" w:rsidRPr="00275BEA">
        <w:rPr>
          <w:rFonts w:ascii="Calibri" w:hAnsi="Calibri" w:cs="Arial"/>
          <w:color w:val="2B2B2A"/>
          <w:sz w:val="22"/>
          <w:szCs w:val="22"/>
          <w:lang w:val="it-IT"/>
        </w:rPr>
        <w:t>con la più ampia gamma</w:t>
      </w:r>
      <w:r w:rsidR="000F1E8F" w:rsidRPr="00275BEA">
        <w:rPr>
          <w:rFonts w:ascii="Calibri" w:hAnsi="Calibri" w:cs="Arial"/>
          <w:color w:val="2B2B2A"/>
          <w:sz w:val="22"/>
          <w:szCs w:val="22"/>
          <w:lang w:val="it-IT"/>
        </w:rPr>
        <w:t xml:space="preserve"> </w:t>
      </w:r>
      <w:r w:rsidR="00087C6E" w:rsidRPr="00275BEA">
        <w:rPr>
          <w:rFonts w:ascii="Calibri" w:hAnsi="Calibri" w:cs="Arial"/>
          <w:color w:val="2B2B2A"/>
          <w:sz w:val="22"/>
          <w:szCs w:val="22"/>
          <w:lang w:val="it-IT"/>
        </w:rPr>
        <w:t xml:space="preserve">di opportunità, </w:t>
      </w:r>
      <w:r w:rsidRPr="00275BEA">
        <w:rPr>
          <w:rFonts w:ascii="Calibri" w:hAnsi="Calibri" w:cs="Arial"/>
          <w:color w:val="2B2B2A"/>
          <w:sz w:val="22"/>
          <w:szCs w:val="22"/>
          <w:lang w:val="it-IT"/>
        </w:rPr>
        <w:t>e l</w:t>
      </w:r>
      <w:r w:rsidR="00087C6E" w:rsidRPr="00275BEA">
        <w:rPr>
          <w:rFonts w:ascii="Calibri" w:hAnsi="Calibri" w:cs="Arial"/>
          <w:color w:val="2B2B2A"/>
          <w:sz w:val="22"/>
          <w:szCs w:val="22"/>
          <w:lang w:val="it-IT"/>
        </w:rPr>
        <w:t>’</w:t>
      </w:r>
      <w:r w:rsidRPr="00275BEA">
        <w:rPr>
          <w:rFonts w:ascii="Calibri" w:hAnsi="Calibri" w:cs="Arial"/>
          <w:color w:val="2B2B2A"/>
          <w:sz w:val="22"/>
          <w:szCs w:val="22"/>
          <w:lang w:val="it-IT"/>
        </w:rPr>
        <w:t xml:space="preserve">unica cosa che si nota in casi come questo è una maggiore dispersione tra i crediti. Dal punto di vista del credito, </w:t>
      </w:r>
      <w:r w:rsidR="000F1E8F" w:rsidRPr="00275BEA">
        <w:rPr>
          <w:rFonts w:ascii="Calibri" w:hAnsi="Calibri" w:cs="Arial"/>
          <w:color w:val="2B2B2A"/>
          <w:sz w:val="22"/>
          <w:szCs w:val="22"/>
          <w:lang w:val="it-IT"/>
        </w:rPr>
        <w:t>c’è molto interesse per</w:t>
      </w:r>
      <w:r w:rsidRPr="00275BEA">
        <w:rPr>
          <w:rFonts w:ascii="Calibri" w:hAnsi="Calibri" w:cs="Arial"/>
          <w:color w:val="2B2B2A"/>
          <w:sz w:val="22"/>
          <w:szCs w:val="22"/>
          <w:lang w:val="it-IT"/>
        </w:rPr>
        <w:t xml:space="preserve"> il mercato americano, in particolare quello investment grade. </w:t>
      </w:r>
      <w:r w:rsidR="000F1E8F" w:rsidRPr="00275BEA">
        <w:rPr>
          <w:rFonts w:ascii="Calibri" w:hAnsi="Calibri" w:cs="Arial"/>
          <w:color w:val="2B2B2A"/>
          <w:sz w:val="22"/>
          <w:szCs w:val="22"/>
          <w:lang w:val="it-IT"/>
        </w:rPr>
        <w:t>Sarà necess</w:t>
      </w:r>
      <w:r w:rsidR="00EB6B38" w:rsidRPr="00275BEA">
        <w:rPr>
          <w:rFonts w:ascii="Calibri" w:hAnsi="Calibri" w:cs="Arial"/>
          <w:color w:val="2B2B2A"/>
          <w:sz w:val="22"/>
          <w:szCs w:val="22"/>
          <w:lang w:val="it-IT"/>
        </w:rPr>
        <w:t>a</w:t>
      </w:r>
      <w:r w:rsidR="000F1E8F" w:rsidRPr="00275BEA">
        <w:rPr>
          <w:rFonts w:ascii="Calibri" w:hAnsi="Calibri" w:cs="Arial"/>
          <w:color w:val="2B2B2A"/>
          <w:sz w:val="22"/>
          <w:szCs w:val="22"/>
          <w:lang w:val="it-IT"/>
        </w:rPr>
        <w:t>rio</w:t>
      </w:r>
      <w:r w:rsidR="00087C6E" w:rsidRPr="00275BEA">
        <w:rPr>
          <w:rFonts w:ascii="Calibri" w:hAnsi="Calibri" w:cs="Arial"/>
          <w:color w:val="2B2B2A"/>
          <w:sz w:val="22"/>
          <w:szCs w:val="22"/>
          <w:lang w:val="it-IT"/>
        </w:rPr>
        <w:t xml:space="preserve"> vedere un’</w:t>
      </w:r>
      <w:r w:rsidRPr="00275BEA">
        <w:rPr>
          <w:rFonts w:ascii="Calibri" w:hAnsi="Calibri" w:cs="Arial"/>
          <w:color w:val="2B2B2A"/>
          <w:sz w:val="22"/>
          <w:szCs w:val="22"/>
          <w:lang w:val="it-IT"/>
        </w:rPr>
        <w:t>ulteriore revisione degli utili prima di passare all</w:t>
      </w:r>
      <w:r w:rsidR="00087C6E" w:rsidRPr="00275BEA">
        <w:rPr>
          <w:rFonts w:ascii="Calibri" w:hAnsi="Calibri" w:cs="Arial"/>
          <w:color w:val="2B2B2A"/>
          <w:sz w:val="22"/>
          <w:szCs w:val="22"/>
          <w:lang w:val="it-IT"/>
        </w:rPr>
        <w:t>’</w:t>
      </w:r>
      <w:r w:rsidRPr="00275BEA">
        <w:rPr>
          <w:rFonts w:ascii="Calibri" w:hAnsi="Calibri" w:cs="Arial"/>
          <w:color w:val="2B2B2A"/>
          <w:sz w:val="22"/>
          <w:szCs w:val="22"/>
          <w:lang w:val="it-IT"/>
        </w:rPr>
        <w:t>high yield.</w:t>
      </w:r>
      <w:r w:rsidR="00B05AA5" w:rsidRPr="00275BEA">
        <w:rPr>
          <w:rFonts w:ascii="Calibri" w:hAnsi="Calibri" w:cs="Arial"/>
          <w:color w:val="2B2B2A"/>
          <w:sz w:val="22"/>
          <w:szCs w:val="22"/>
          <w:lang w:val="it-IT"/>
        </w:rPr>
        <w:t xml:space="preserve"> </w:t>
      </w:r>
    </w:p>
    <w:p w14:paraId="790A0F2C" w14:textId="77777777" w:rsidR="00B05AA5" w:rsidRPr="00275BEA" w:rsidRDefault="00D172BB" w:rsidP="00685B9D">
      <w:pPr>
        <w:pStyle w:val="NormaleWeb"/>
        <w:shd w:val="clear" w:color="auto" w:fill="FFFFFF"/>
        <w:spacing w:before="0" w:beforeAutospacing="0" w:after="120" w:afterAutospacing="0" w:line="264" w:lineRule="auto"/>
        <w:rPr>
          <w:rFonts w:ascii="Calibri" w:hAnsi="Calibri" w:cs="Arial"/>
          <w:color w:val="2B2B2A"/>
          <w:sz w:val="22"/>
          <w:szCs w:val="22"/>
          <w:lang w:val="it-IT"/>
        </w:rPr>
      </w:pPr>
      <w:r w:rsidRPr="00275BEA">
        <w:rPr>
          <w:rFonts w:ascii="Calibri" w:hAnsi="Calibri" w:cs="Arial"/>
          <w:color w:val="2B2B2A"/>
          <w:sz w:val="22"/>
          <w:szCs w:val="22"/>
          <w:lang w:val="it-IT"/>
        </w:rPr>
        <w:t xml:space="preserve">In Europa, probabilmente la BCE è in ritardo rispetto alla </w:t>
      </w:r>
      <w:proofErr w:type="spellStart"/>
      <w:r w:rsidR="00087C6E" w:rsidRPr="00275BEA">
        <w:rPr>
          <w:rFonts w:ascii="Calibri" w:hAnsi="Calibri" w:cs="Arial"/>
          <w:color w:val="2B2B2A"/>
          <w:sz w:val="22"/>
          <w:szCs w:val="22"/>
          <w:lang w:val="it-IT"/>
        </w:rPr>
        <w:t>BoE</w:t>
      </w:r>
      <w:proofErr w:type="spellEnd"/>
      <w:r w:rsidR="00087C6E" w:rsidRPr="00275BEA">
        <w:rPr>
          <w:rFonts w:ascii="Calibri" w:hAnsi="Calibri" w:cs="Arial"/>
          <w:color w:val="2B2B2A"/>
          <w:sz w:val="22"/>
          <w:szCs w:val="22"/>
          <w:lang w:val="it-IT"/>
        </w:rPr>
        <w:t xml:space="preserve"> </w:t>
      </w:r>
      <w:r w:rsidRPr="00275BEA">
        <w:rPr>
          <w:rFonts w:ascii="Calibri" w:hAnsi="Calibri" w:cs="Arial"/>
          <w:color w:val="2B2B2A"/>
          <w:sz w:val="22"/>
          <w:szCs w:val="22"/>
          <w:lang w:val="it-IT"/>
        </w:rPr>
        <w:t xml:space="preserve">e alla Fed in termini di rialzo dei tassi, ma anche in questo caso la cosa è ben nota. I mercati del credito stanno già valutando una lieve recessione. </w:t>
      </w:r>
      <w:r w:rsidR="00087C6E" w:rsidRPr="00275BEA">
        <w:rPr>
          <w:rFonts w:ascii="Calibri" w:hAnsi="Calibri" w:cs="Arial"/>
          <w:color w:val="2B2B2A"/>
          <w:sz w:val="22"/>
          <w:szCs w:val="22"/>
          <w:lang w:val="it-IT"/>
        </w:rPr>
        <w:t>Penso</w:t>
      </w:r>
      <w:r w:rsidRPr="00275BEA">
        <w:rPr>
          <w:rFonts w:ascii="Calibri" w:hAnsi="Calibri" w:cs="Arial"/>
          <w:color w:val="2B2B2A"/>
          <w:sz w:val="22"/>
          <w:szCs w:val="22"/>
          <w:lang w:val="it-IT"/>
        </w:rPr>
        <w:t xml:space="preserve"> che il problema sia la probabilità di una lieve recessione rispetto a </w:t>
      </w:r>
      <w:r w:rsidR="00087C6E" w:rsidRPr="00275BEA">
        <w:rPr>
          <w:rFonts w:ascii="Calibri" w:hAnsi="Calibri" w:cs="Arial"/>
          <w:color w:val="2B2B2A"/>
          <w:sz w:val="22"/>
          <w:szCs w:val="22"/>
          <w:lang w:val="it-IT"/>
        </w:rPr>
        <w:t>una</w:t>
      </w:r>
      <w:r w:rsidRPr="00275BEA">
        <w:rPr>
          <w:rFonts w:ascii="Calibri" w:hAnsi="Calibri" w:cs="Arial"/>
          <w:color w:val="2B2B2A"/>
          <w:sz w:val="22"/>
          <w:szCs w:val="22"/>
          <w:lang w:val="it-IT"/>
        </w:rPr>
        <w:t xml:space="preserve"> più grave, </w:t>
      </w:r>
      <w:r w:rsidRPr="00275BEA">
        <w:rPr>
          <w:rFonts w:ascii="Calibri" w:hAnsi="Calibri" w:cs="Arial"/>
          <w:color w:val="2B2B2A"/>
          <w:sz w:val="22"/>
          <w:szCs w:val="22"/>
          <w:lang w:val="it-IT"/>
        </w:rPr>
        <w:lastRenderedPageBreak/>
        <w:t xml:space="preserve">insieme a quanto si viene compensati in termini di rendimento per questa incertezza. Anche in questo caso, stiamo trovando interessanti opportunità nel credito a causa di </w:t>
      </w:r>
      <w:r w:rsidR="00087C6E" w:rsidRPr="00275BEA">
        <w:rPr>
          <w:rFonts w:ascii="Calibri" w:hAnsi="Calibri" w:cs="Arial"/>
          <w:color w:val="2B2B2A"/>
          <w:sz w:val="22"/>
          <w:szCs w:val="22"/>
          <w:lang w:val="it-IT"/>
        </w:rPr>
        <w:t>tale</w:t>
      </w:r>
      <w:r w:rsidRPr="00275BEA">
        <w:rPr>
          <w:rFonts w:ascii="Calibri" w:hAnsi="Calibri" w:cs="Arial"/>
          <w:color w:val="2B2B2A"/>
          <w:sz w:val="22"/>
          <w:szCs w:val="22"/>
          <w:lang w:val="it-IT"/>
        </w:rPr>
        <w:t xml:space="preserve"> dispersione.</w:t>
      </w:r>
      <w:r w:rsidR="00B05AA5" w:rsidRPr="00275BEA">
        <w:rPr>
          <w:rFonts w:ascii="Calibri" w:hAnsi="Calibri" w:cs="Arial"/>
          <w:color w:val="2B2B2A"/>
          <w:sz w:val="22"/>
          <w:szCs w:val="22"/>
          <w:lang w:val="it-IT"/>
        </w:rPr>
        <w:t xml:space="preserve"> </w:t>
      </w:r>
    </w:p>
    <w:p w14:paraId="33442655" w14:textId="29FBE445" w:rsidR="00F6234D" w:rsidRPr="00B05AA5" w:rsidRDefault="00D172BB" w:rsidP="00685B9D">
      <w:pPr>
        <w:pStyle w:val="NormaleWeb"/>
        <w:shd w:val="clear" w:color="auto" w:fill="FFFFFF"/>
        <w:spacing w:before="0" w:beforeAutospacing="0" w:after="120" w:afterAutospacing="0" w:line="264" w:lineRule="auto"/>
        <w:rPr>
          <w:rFonts w:ascii="Calibri" w:eastAsia="Times New Roman" w:hAnsi="Calibri" w:cs="Arial"/>
          <w:color w:val="2B2B2A"/>
          <w:sz w:val="22"/>
          <w:szCs w:val="22"/>
          <w:u w:val="single"/>
          <w:lang w:val="it-IT" w:eastAsia="en-US"/>
        </w:rPr>
      </w:pPr>
      <w:r w:rsidRPr="00275BEA">
        <w:rPr>
          <w:rFonts w:ascii="Calibri" w:hAnsi="Calibri" w:cs="Arial"/>
          <w:color w:val="2B2B2A"/>
          <w:sz w:val="22"/>
          <w:szCs w:val="22"/>
          <w:lang w:val="it-IT"/>
        </w:rPr>
        <w:t xml:space="preserve">Non si </w:t>
      </w:r>
      <w:r w:rsidR="00087C6E" w:rsidRPr="00275BEA">
        <w:rPr>
          <w:rFonts w:ascii="Calibri" w:hAnsi="Calibri" w:cs="Arial"/>
          <w:color w:val="2B2B2A"/>
          <w:sz w:val="22"/>
          <w:szCs w:val="22"/>
          <w:lang w:val="it-IT"/>
        </w:rPr>
        <w:t xml:space="preserve">tratta di comprare alla cieca l’intero </w:t>
      </w:r>
      <w:r w:rsidRPr="00275BEA">
        <w:rPr>
          <w:rFonts w:ascii="Calibri" w:hAnsi="Calibri" w:cs="Arial"/>
          <w:color w:val="2B2B2A"/>
          <w:sz w:val="22"/>
          <w:szCs w:val="22"/>
          <w:lang w:val="it-IT"/>
        </w:rPr>
        <w:t xml:space="preserve">indice, ma di iniziare a valutare la propria esposizione </w:t>
      </w:r>
      <w:r w:rsidR="00D11A15" w:rsidRPr="00275BEA">
        <w:rPr>
          <w:rFonts w:ascii="Calibri" w:hAnsi="Calibri" w:cs="Arial"/>
          <w:color w:val="2B2B2A"/>
          <w:sz w:val="22"/>
          <w:szCs w:val="22"/>
          <w:lang w:val="it-IT"/>
        </w:rPr>
        <w:t xml:space="preserve">al credito </w:t>
      </w:r>
      <w:r w:rsidRPr="00275BEA">
        <w:rPr>
          <w:rFonts w:ascii="Calibri" w:hAnsi="Calibri" w:cs="Arial"/>
          <w:color w:val="2B2B2A"/>
          <w:sz w:val="22"/>
          <w:szCs w:val="22"/>
          <w:lang w:val="it-IT"/>
        </w:rPr>
        <w:t xml:space="preserve">e potenzialmente aumentarla, sia negli Stati Uniti </w:t>
      </w:r>
      <w:r w:rsidR="00087C6E" w:rsidRPr="00275BEA">
        <w:rPr>
          <w:rFonts w:ascii="Calibri" w:hAnsi="Calibri" w:cs="Arial"/>
          <w:color w:val="2B2B2A"/>
          <w:sz w:val="22"/>
          <w:szCs w:val="22"/>
          <w:lang w:val="it-IT"/>
        </w:rPr>
        <w:t>sia</w:t>
      </w:r>
      <w:r w:rsidRPr="00275BEA">
        <w:rPr>
          <w:rFonts w:ascii="Calibri" w:hAnsi="Calibri" w:cs="Arial"/>
          <w:color w:val="2B2B2A"/>
          <w:sz w:val="22"/>
          <w:szCs w:val="22"/>
          <w:lang w:val="it-IT"/>
        </w:rPr>
        <w:t xml:space="preserve"> in Europa.</w:t>
      </w:r>
    </w:p>
    <w:p w14:paraId="551CDFEB" w14:textId="015FB641" w:rsidR="00BB7FF6" w:rsidRPr="00087C6E" w:rsidRDefault="00275BEA" w:rsidP="00685B9D">
      <w:pPr>
        <w:spacing w:after="120" w:line="264" w:lineRule="auto"/>
        <w:rPr>
          <w:rFonts w:ascii="Calibri" w:hAnsi="Calibri"/>
          <w:sz w:val="22"/>
          <w:szCs w:val="22"/>
          <w:lang w:val="it-IT"/>
        </w:rPr>
      </w:pPr>
    </w:p>
    <w:sectPr w:rsidR="00BB7FF6" w:rsidRPr="00087C6E" w:rsidSect="00305865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035"/>
    <w:rsid w:val="000173BC"/>
    <w:rsid w:val="00087C6E"/>
    <w:rsid w:val="000F1E8F"/>
    <w:rsid w:val="00104751"/>
    <w:rsid w:val="00185B3F"/>
    <w:rsid w:val="001D400E"/>
    <w:rsid w:val="00275BEA"/>
    <w:rsid w:val="00276477"/>
    <w:rsid w:val="00294EC8"/>
    <w:rsid w:val="00305865"/>
    <w:rsid w:val="00351CC7"/>
    <w:rsid w:val="004521AD"/>
    <w:rsid w:val="004D1373"/>
    <w:rsid w:val="004F0241"/>
    <w:rsid w:val="00520B46"/>
    <w:rsid w:val="00576D45"/>
    <w:rsid w:val="005937E4"/>
    <w:rsid w:val="005E254F"/>
    <w:rsid w:val="00645759"/>
    <w:rsid w:val="00685B9D"/>
    <w:rsid w:val="006B4BEF"/>
    <w:rsid w:val="0071108C"/>
    <w:rsid w:val="00715846"/>
    <w:rsid w:val="007331BA"/>
    <w:rsid w:val="0074128F"/>
    <w:rsid w:val="00845035"/>
    <w:rsid w:val="00892FC5"/>
    <w:rsid w:val="008A3E8F"/>
    <w:rsid w:val="008C6645"/>
    <w:rsid w:val="009E24F9"/>
    <w:rsid w:val="00A53BB7"/>
    <w:rsid w:val="00AC0DB5"/>
    <w:rsid w:val="00B05AA5"/>
    <w:rsid w:val="00B87CB4"/>
    <w:rsid w:val="00BC104B"/>
    <w:rsid w:val="00D11A15"/>
    <w:rsid w:val="00D172BB"/>
    <w:rsid w:val="00D82648"/>
    <w:rsid w:val="00DD238C"/>
    <w:rsid w:val="00E52AE9"/>
    <w:rsid w:val="00EB6B38"/>
    <w:rsid w:val="00EE197D"/>
    <w:rsid w:val="00F6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20E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F6234D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623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6234D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hidden-xs">
    <w:name w:val="hidden-xs"/>
    <w:basedOn w:val="Normale"/>
    <w:rsid w:val="00F6234D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customStyle="1" w:styleId="name">
    <w:name w:val="name"/>
    <w:basedOn w:val="Normale"/>
    <w:rsid w:val="00F6234D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styleId="Titolo">
    <w:name w:val="Title"/>
    <w:aliases w:val="title"/>
    <w:basedOn w:val="Normale"/>
    <w:link w:val="TitoloCarattere"/>
    <w:uiPriority w:val="10"/>
    <w:qFormat/>
    <w:rsid w:val="00F6234D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customStyle="1" w:styleId="TitoloCarattere">
    <w:name w:val="Titolo Carattere"/>
    <w:aliases w:val="title Carattere"/>
    <w:basedOn w:val="Carpredefinitoparagrafo"/>
    <w:link w:val="Titolo"/>
    <w:uiPriority w:val="10"/>
    <w:rsid w:val="00F6234D"/>
    <w:rPr>
      <w:rFonts w:ascii="Times New Roman" w:hAnsi="Times New Roman" w:cs="Times New Roman"/>
      <w:lang w:eastAsia="en-GB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6234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eWeb">
    <w:name w:val="Normal (Web)"/>
    <w:basedOn w:val="Normale"/>
    <w:uiPriority w:val="99"/>
    <w:unhideWhenUsed/>
    <w:rsid w:val="00F6234D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Enfasicorsivo">
    <w:name w:val="Emphasis"/>
    <w:basedOn w:val="Carpredefinitoparagrafo"/>
    <w:uiPriority w:val="20"/>
    <w:qFormat/>
    <w:rsid w:val="00F6234D"/>
    <w:rPr>
      <w:i/>
      <w:iCs/>
    </w:rPr>
  </w:style>
  <w:style w:type="character" w:styleId="Enfasigrassetto">
    <w:name w:val="Strong"/>
    <w:basedOn w:val="Carpredefinitoparagrafo"/>
    <w:uiPriority w:val="22"/>
    <w:qFormat/>
    <w:rsid w:val="00F6234D"/>
    <w:rPr>
      <w:b/>
      <w:bCs/>
    </w:rPr>
  </w:style>
  <w:style w:type="paragraph" w:styleId="Revisione">
    <w:name w:val="Revision"/>
    <w:hidden/>
    <w:uiPriority w:val="99"/>
    <w:semiHidden/>
    <w:rsid w:val="004F02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Diana Ferla</cp:lastModifiedBy>
  <cp:revision>5</cp:revision>
  <dcterms:created xsi:type="dcterms:W3CDTF">2022-10-10T07:14:00Z</dcterms:created>
  <dcterms:modified xsi:type="dcterms:W3CDTF">2022-10-10T08:30:00Z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f18f21ceb8a92a21669b266722ae0be876a497b83b9dac57a59c0d0e9e85f65c</vt:lpwstr>
  </property>
</Properties>
</file>