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0E" w:rsidRDefault="00273C86" w:rsidP="00AB450E">
      <w:pPr>
        <w:ind w:left="7080" w:firstLine="708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57785</wp:posOffset>
            </wp:positionV>
            <wp:extent cx="2852420" cy="71437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CB" w:rsidRDefault="001C0FCB" w:rsidP="001C0FCB">
      <w:pPr>
        <w:ind w:left="7080" w:firstLine="708"/>
        <w:jc w:val="both"/>
        <w:rPr>
          <w:rFonts w:ascii="Cambria" w:hAnsi="Cambria" w:cs="Tahoma"/>
          <w:i/>
          <w:iCs/>
          <w:sz w:val="16"/>
          <w:szCs w:val="16"/>
        </w:rPr>
      </w:pPr>
    </w:p>
    <w:p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9A59D4" w:rsidRDefault="009A59D4" w:rsidP="00FE5853">
      <w:pPr>
        <w:tabs>
          <w:tab w:val="left" w:pos="7335"/>
          <w:tab w:val="left" w:pos="7395"/>
          <w:tab w:val="center" w:pos="8383"/>
        </w:tabs>
        <w:rPr>
          <w:rFonts w:ascii="Cambria" w:hAnsi="Cambria"/>
          <w:sz w:val="16"/>
          <w:szCs w:val="16"/>
        </w:rPr>
      </w:pPr>
    </w:p>
    <w:p w:rsidR="009A59D4" w:rsidRDefault="006856EC" w:rsidP="009A59D4">
      <w:pPr>
        <w:jc w:val="right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Roma, 10 ottobre 2022</w:t>
      </w:r>
    </w:p>
    <w:p w:rsidR="006856EC" w:rsidRPr="00840FA2" w:rsidRDefault="006856EC" w:rsidP="009A59D4">
      <w:pPr>
        <w:jc w:val="right"/>
        <w:rPr>
          <w:rFonts w:ascii="Cambria" w:hAnsi="Cambria" w:cs="Tahoma"/>
          <w:i/>
          <w:sz w:val="18"/>
          <w:szCs w:val="18"/>
        </w:rPr>
      </w:pPr>
    </w:p>
    <w:p w:rsidR="009A59D4" w:rsidRPr="00840FA2" w:rsidRDefault="009A59D4" w:rsidP="009A59D4">
      <w:pPr>
        <w:widowControl w:val="0"/>
        <w:autoSpaceDE w:val="0"/>
        <w:autoSpaceDN w:val="0"/>
        <w:adjustRightInd w:val="0"/>
        <w:jc w:val="center"/>
        <w:rPr>
          <w:rFonts w:ascii="Tahoma" w:eastAsia="BatangChe" w:hAnsi="Tahoma" w:cs="Tahoma"/>
          <w:b/>
          <w:bCs/>
          <w:color w:val="6B0001"/>
          <w:sz w:val="40"/>
          <w:szCs w:val="40"/>
        </w:rPr>
      </w:pPr>
      <w:r w:rsidRPr="00840FA2">
        <w:rPr>
          <w:rFonts w:ascii="Tahoma" w:eastAsia="BatangChe" w:hAnsi="Tahoma" w:cs="Tahoma"/>
          <w:b/>
          <w:bCs/>
          <w:color w:val="6B0001"/>
          <w:sz w:val="40"/>
          <w:szCs w:val="40"/>
        </w:rPr>
        <w:t>ACI: GLI INCIDENTI STRADALI 20</w:t>
      </w:r>
      <w:r w:rsidR="004E6955" w:rsidRPr="00840FA2">
        <w:rPr>
          <w:rFonts w:ascii="Tahoma" w:eastAsia="BatangChe" w:hAnsi="Tahoma" w:cs="Tahoma"/>
          <w:b/>
          <w:bCs/>
          <w:color w:val="6B0001"/>
          <w:sz w:val="40"/>
          <w:szCs w:val="40"/>
        </w:rPr>
        <w:t>2</w:t>
      </w:r>
      <w:r w:rsidR="00380575" w:rsidRPr="00840FA2">
        <w:rPr>
          <w:rFonts w:ascii="Tahoma" w:eastAsia="BatangChe" w:hAnsi="Tahoma" w:cs="Tahoma"/>
          <w:b/>
          <w:bCs/>
          <w:color w:val="6B0001"/>
          <w:sz w:val="40"/>
          <w:szCs w:val="40"/>
        </w:rPr>
        <w:t>1</w:t>
      </w:r>
      <w:r w:rsidRPr="00840FA2">
        <w:rPr>
          <w:rFonts w:ascii="Tahoma" w:eastAsia="BatangChe" w:hAnsi="Tahoma" w:cs="Tahoma"/>
          <w:b/>
          <w:bCs/>
          <w:color w:val="6B0001"/>
          <w:sz w:val="40"/>
          <w:szCs w:val="40"/>
        </w:rPr>
        <w:t xml:space="preserve"> </w:t>
      </w:r>
    </w:p>
    <w:p w:rsidR="009A59D4" w:rsidRPr="00840FA2" w:rsidRDefault="009A59D4" w:rsidP="009A59D4">
      <w:pPr>
        <w:widowControl w:val="0"/>
        <w:autoSpaceDE w:val="0"/>
        <w:autoSpaceDN w:val="0"/>
        <w:adjustRightInd w:val="0"/>
        <w:jc w:val="center"/>
        <w:rPr>
          <w:rFonts w:ascii="Tahoma" w:eastAsia="BatangChe" w:hAnsi="Tahoma" w:cs="Tahoma"/>
          <w:b/>
          <w:bCs/>
          <w:color w:val="6B0001"/>
          <w:sz w:val="40"/>
          <w:szCs w:val="40"/>
        </w:rPr>
      </w:pPr>
      <w:r w:rsidRPr="00840FA2">
        <w:rPr>
          <w:rFonts w:ascii="Tahoma" w:eastAsia="BatangChe" w:hAnsi="Tahoma" w:cs="Tahoma"/>
          <w:b/>
          <w:bCs/>
          <w:color w:val="6B0001"/>
          <w:sz w:val="40"/>
          <w:szCs w:val="40"/>
        </w:rPr>
        <w:t>NELLE 10</w:t>
      </w:r>
      <w:r w:rsidR="00397C69" w:rsidRPr="00840FA2">
        <w:rPr>
          <w:rFonts w:ascii="Tahoma" w:eastAsia="BatangChe" w:hAnsi="Tahoma" w:cs="Tahoma"/>
          <w:b/>
          <w:bCs/>
          <w:color w:val="6B0001"/>
          <w:sz w:val="40"/>
          <w:szCs w:val="40"/>
        </w:rPr>
        <w:t>7</w:t>
      </w:r>
      <w:r w:rsidRPr="00840FA2">
        <w:rPr>
          <w:rFonts w:ascii="Tahoma" w:eastAsia="BatangChe" w:hAnsi="Tahoma" w:cs="Tahoma"/>
          <w:b/>
          <w:bCs/>
          <w:color w:val="6B0001"/>
          <w:sz w:val="40"/>
          <w:szCs w:val="40"/>
        </w:rPr>
        <w:t xml:space="preserve"> PROVINCE ITALIANE</w:t>
      </w:r>
    </w:p>
    <w:p w:rsidR="009A59D4" w:rsidRPr="00840FA2" w:rsidRDefault="009A59D4" w:rsidP="009A59D4">
      <w:pPr>
        <w:widowControl w:val="0"/>
        <w:autoSpaceDE w:val="0"/>
        <w:autoSpaceDN w:val="0"/>
        <w:adjustRightInd w:val="0"/>
        <w:jc w:val="center"/>
        <w:rPr>
          <w:rFonts w:ascii="Tahoma" w:eastAsia="BatangChe" w:hAnsi="Tahoma" w:cs="Tahoma"/>
          <w:color w:val="0F243E" w:themeColor="text2" w:themeShade="80"/>
          <w:sz w:val="20"/>
          <w:szCs w:val="20"/>
        </w:rPr>
      </w:pPr>
    </w:p>
    <w:p w:rsidR="009A59D4" w:rsidRPr="00840FA2" w:rsidRDefault="002C16C0" w:rsidP="009A59D4">
      <w:pPr>
        <w:widowControl w:val="0"/>
        <w:autoSpaceDE w:val="0"/>
        <w:autoSpaceDN w:val="0"/>
        <w:adjustRightInd w:val="0"/>
        <w:jc w:val="center"/>
        <w:rPr>
          <w:rFonts w:ascii="Tahoma" w:eastAsia="BatangChe" w:hAnsi="Tahoma" w:cs="Tahoma"/>
          <w:b/>
          <w:bCs/>
          <w:color w:val="6B0001"/>
        </w:rPr>
      </w:pPr>
      <w:r w:rsidRPr="00840FA2">
        <w:rPr>
          <w:rFonts w:ascii="Tahoma" w:eastAsia="BatangChe" w:hAnsi="Tahoma" w:cs="Tahoma"/>
          <w:b/>
          <w:bCs/>
          <w:color w:val="6B0001"/>
        </w:rPr>
        <w:t>VITTIME DELLA STRADA</w:t>
      </w:r>
    </w:p>
    <w:p w:rsidR="00F810F8" w:rsidRPr="00840FA2" w:rsidRDefault="009A59D4" w:rsidP="009A59D4">
      <w:pPr>
        <w:widowControl w:val="0"/>
        <w:autoSpaceDE w:val="0"/>
        <w:autoSpaceDN w:val="0"/>
        <w:adjustRightInd w:val="0"/>
        <w:jc w:val="center"/>
        <w:rPr>
          <w:rFonts w:ascii="Tahoma" w:eastAsia="BatangChe" w:hAnsi="Tahoma" w:cs="Tahoma"/>
          <w:b/>
          <w:bCs/>
          <w:smallCaps/>
          <w:color w:val="0F243E" w:themeColor="text2" w:themeShade="80"/>
        </w:rPr>
      </w:pPr>
      <w:r w:rsidRPr="00840FA2">
        <w:rPr>
          <w:rFonts w:ascii="Tahoma" w:eastAsia="BatangChe" w:hAnsi="Tahoma" w:cs="Tahoma"/>
          <w:b/>
          <w:bCs/>
          <w:smallCaps/>
          <w:color w:val="6B0001"/>
        </w:rPr>
        <w:t>male</w:t>
      </w:r>
      <w:r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 xml:space="preserve">: </w:t>
      </w:r>
    </w:p>
    <w:p w:rsidR="009A59D4" w:rsidRPr="00840FA2" w:rsidRDefault="005606FC" w:rsidP="009A59D4">
      <w:pPr>
        <w:widowControl w:val="0"/>
        <w:autoSpaceDE w:val="0"/>
        <w:autoSpaceDN w:val="0"/>
        <w:adjustRightInd w:val="0"/>
        <w:jc w:val="center"/>
        <w:rPr>
          <w:rFonts w:ascii="Tahoma" w:eastAsia="BatangChe" w:hAnsi="Tahoma" w:cs="Tahoma"/>
          <w:b/>
          <w:bCs/>
          <w:smallCaps/>
          <w:color w:val="0F243E" w:themeColor="text2" w:themeShade="80"/>
        </w:rPr>
      </w:pPr>
      <w:r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UDINE</w:t>
      </w:r>
      <w:r w:rsidR="003518E4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 xml:space="preserve"> (+1</w:t>
      </w:r>
      <w:r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6</w:t>
      </w:r>
      <w:r w:rsidR="003518E4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)</w:t>
      </w:r>
      <w:r w:rsidR="008832BA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,</w:t>
      </w:r>
      <w:r w:rsidR="003518E4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 xml:space="preserve"> </w:t>
      </w:r>
      <w:r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LATINA</w:t>
      </w:r>
      <w:r w:rsidR="003518E4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 xml:space="preserve"> (+1</w:t>
      </w:r>
      <w:r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5</w:t>
      </w:r>
      <w:r w:rsidR="003518E4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)</w:t>
      </w:r>
      <w:r w:rsidR="008832BA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,</w:t>
      </w:r>
      <w:r w:rsidR="003518E4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 xml:space="preserve"> </w:t>
      </w:r>
      <w:r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PERUGIA</w:t>
      </w:r>
      <w:r w:rsidR="009A59D4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 xml:space="preserve"> (+</w:t>
      </w:r>
      <w:r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10</w:t>
      </w:r>
      <w:r w:rsidR="009A59D4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 xml:space="preserve">) </w:t>
      </w:r>
    </w:p>
    <w:p w:rsidR="00F810F8" w:rsidRPr="00840FA2" w:rsidRDefault="009A59D4" w:rsidP="0024622E">
      <w:pPr>
        <w:widowControl w:val="0"/>
        <w:autoSpaceDE w:val="0"/>
        <w:autoSpaceDN w:val="0"/>
        <w:adjustRightInd w:val="0"/>
        <w:jc w:val="center"/>
        <w:rPr>
          <w:rFonts w:ascii="Tahoma" w:eastAsia="BatangChe" w:hAnsi="Tahoma" w:cs="Tahoma"/>
          <w:b/>
          <w:bCs/>
          <w:smallCaps/>
          <w:color w:val="0F243E" w:themeColor="text2" w:themeShade="80"/>
        </w:rPr>
      </w:pPr>
      <w:r w:rsidRPr="00840FA2">
        <w:rPr>
          <w:rFonts w:ascii="Tahoma" w:eastAsia="BatangChe" w:hAnsi="Tahoma" w:cs="Tahoma"/>
          <w:b/>
          <w:bCs/>
          <w:smallCaps/>
          <w:color w:val="6B0001"/>
        </w:rPr>
        <w:t>bene</w:t>
      </w:r>
      <w:r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 xml:space="preserve">: </w:t>
      </w:r>
    </w:p>
    <w:p w:rsidR="009A59D4" w:rsidRPr="00840FA2" w:rsidRDefault="003518E4" w:rsidP="0024622E">
      <w:pPr>
        <w:widowControl w:val="0"/>
        <w:autoSpaceDE w:val="0"/>
        <w:autoSpaceDN w:val="0"/>
        <w:adjustRightInd w:val="0"/>
        <w:jc w:val="center"/>
        <w:rPr>
          <w:rFonts w:ascii="Tahoma" w:eastAsia="BatangChe" w:hAnsi="Tahoma" w:cs="Tahoma"/>
          <w:b/>
          <w:bCs/>
          <w:smallCaps/>
          <w:color w:val="0F243E" w:themeColor="text2" w:themeShade="80"/>
        </w:rPr>
      </w:pPr>
      <w:r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T</w:t>
      </w:r>
      <w:r w:rsidR="005606FC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ORINO</w:t>
      </w:r>
      <w:r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 xml:space="preserve"> (-</w:t>
      </w:r>
      <w:r w:rsidR="005606FC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3</w:t>
      </w:r>
      <w:r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0)</w:t>
      </w:r>
      <w:r w:rsidR="008832BA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,</w:t>
      </w:r>
      <w:r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 xml:space="preserve"> </w:t>
      </w:r>
      <w:r w:rsidR="005606FC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PADOVA</w:t>
      </w:r>
      <w:r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 xml:space="preserve"> </w:t>
      </w:r>
      <w:r w:rsidR="008832BA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 xml:space="preserve">e </w:t>
      </w:r>
      <w:r w:rsidR="005606FC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VERONA</w:t>
      </w:r>
      <w:r w:rsidR="009A59D4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 xml:space="preserve"> (-</w:t>
      </w:r>
      <w:r w:rsidR="005606FC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23</w:t>
      </w:r>
      <w:r w:rsidR="009A59D4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)</w:t>
      </w:r>
      <w:r w:rsidR="008832BA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,</w:t>
      </w:r>
      <w:r w:rsidR="004907BA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 xml:space="preserve"> </w:t>
      </w:r>
      <w:r w:rsidR="005606FC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BOLZANO</w:t>
      </w:r>
      <w:r w:rsidR="004907BA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 xml:space="preserve"> (-</w:t>
      </w:r>
      <w:r w:rsidR="005606FC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22</w:t>
      </w:r>
      <w:r w:rsidR="004907BA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)</w:t>
      </w:r>
    </w:p>
    <w:p w:rsidR="00B557F2" w:rsidRPr="00840FA2" w:rsidRDefault="00B557F2" w:rsidP="009A59D4">
      <w:pPr>
        <w:widowControl w:val="0"/>
        <w:autoSpaceDE w:val="0"/>
        <w:autoSpaceDN w:val="0"/>
        <w:adjustRightInd w:val="0"/>
        <w:jc w:val="center"/>
        <w:rPr>
          <w:rFonts w:ascii="Tahoma" w:eastAsia="BatangChe" w:hAnsi="Tahoma" w:cs="Tahoma"/>
          <w:b/>
          <w:bCs/>
          <w:smallCaps/>
          <w:color w:val="0F243E" w:themeColor="text2" w:themeShade="80"/>
          <w:sz w:val="10"/>
          <w:szCs w:val="10"/>
        </w:rPr>
      </w:pPr>
    </w:p>
    <w:p w:rsidR="00726089" w:rsidRPr="00840FA2" w:rsidRDefault="00726089" w:rsidP="00726089">
      <w:pPr>
        <w:widowControl w:val="0"/>
        <w:autoSpaceDE w:val="0"/>
        <w:autoSpaceDN w:val="0"/>
        <w:adjustRightInd w:val="0"/>
        <w:jc w:val="center"/>
        <w:rPr>
          <w:rFonts w:ascii="Tahoma" w:eastAsia="BatangChe" w:hAnsi="Tahoma" w:cs="Tahoma"/>
          <w:b/>
          <w:bCs/>
          <w:smallCaps/>
          <w:color w:val="0F243E" w:themeColor="text2" w:themeShade="80"/>
          <w:sz w:val="10"/>
          <w:szCs w:val="10"/>
        </w:rPr>
      </w:pPr>
    </w:p>
    <w:p w:rsidR="002C1290" w:rsidRPr="00840FA2" w:rsidRDefault="002C16C0" w:rsidP="00726089">
      <w:pPr>
        <w:widowControl w:val="0"/>
        <w:autoSpaceDE w:val="0"/>
        <w:autoSpaceDN w:val="0"/>
        <w:adjustRightInd w:val="0"/>
        <w:jc w:val="center"/>
        <w:rPr>
          <w:rFonts w:ascii="Tahoma" w:eastAsia="BatangChe" w:hAnsi="Tahoma" w:cs="Tahoma"/>
          <w:color w:val="0F243E" w:themeColor="text2" w:themeShade="80"/>
        </w:rPr>
      </w:pPr>
      <w:r w:rsidRPr="00840FA2">
        <w:rPr>
          <w:rFonts w:ascii="Tahoma" w:eastAsia="BatangChe" w:hAnsi="Tahoma" w:cs="Tahoma"/>
          <w:b/>
          <w:bCs/>
          <w:color w:val="6B0001"/>
        </w:rPr>
        <w:t>INDICE MORTALITÀ</w:t>
      </w:r>
    </w:p>
    <w:p w:rsidR="00726089" w:rsidRPr="00840FA2" w:rsidRDefault="005B27BC" w:rsidP="005B27BC">
      <w:pPr>
        <w:widowControl w:val="0"/>
        <w:autoSpaceDE w:val="0"/>
        <w:autoSpaceDN w:val="0"/>
        <w:adjustRightInd w:val="0"/>
        <w:jc w:val="center"/>
        <w:rPr>
          <w:rFonts w:ascii="Tahoma" w:eastAsia="BatangChe" w:hAnsi="Tahoma" w:cs="Tahoma"/>
          <w:b/>
          <w:bCs/>
          <w:smallCaps/>
          <w:color w:val="6B0001"/>
        </w:rPr>
      </w:pPr>
      <w:r w:rsidRPr="00840FA2">
        <w:rPr>
          <w:rFonts w:ascii="Tahoma" w:eastAsia="BatangChe" w:hAnsi="Tahoma" w:cs="Tahoma"/>
          <w:b/>
          <w:bCs/>
          <w:smallCaps/>
          <w:color w:val="6B0001"/>
        </w:rPr>
        <w:t xml:space="preserve">più alto </w:t>
      </w:r>
      <w:r w:rsidR="009A737F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rispetto alla media nazionale</w:t>
      </w:r>
      <w:r w:rsidR="00422167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:</w:t>
      </w:r>
    </w:p>
    <w:p w:rsidR="00726089" w:rsidRPr="00840FA2" w:rsidRDefault="006A1F16" w:rsidP="00726089">
      <w:pPr>
        <w:widowControl w:val="0"/>
        <w:autoSpaceDE w:val="0"/>
        <w:autoSpaceDN w:val="0"/>
        <w:adjustRightInd w:val="0"/>
        <w:jc w:val="center"/>
        <w:rPr>
          <w:rFonts w:ascii="Tahoma" w:eastAsia="BatangChe" w:hAnsi="Tahoma" w:cs="Tahoma"/>
          <w:b/>
          <w:bCs/>
          <w:smallCaps/>
          <w:color w:val="0F243E" w:themeColor="text2" w:themeShade="80"/>
        </w:rPr>
      </w:pPr>
      <w:bookmarkStart w:id="0" w:name="_Hlk84352439"/>
      <w:r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 xml:space="preserve">ISERNIA, </w:t>
      </w:r>
      <w:r w:rsidR="00E6287D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 xml:space="preserve">SUD SARDEGNA, </w:t>
      </w:r>
      <w:r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UDINE, L’AQUILA, CHIETI</w:t>
      </w:r>
    </w:p>
    <w:bookmarkEnd w:id="0"/>
    <w:p w:rsidR="00726089" w:rsidRPr="00840FA2" w:rsidRDefault="00726089" w:rsidP="00726089">
      <w:pPr>
        <w:widowControl w:val="0"/>
        <w:autoSpaceDE w:val="0"/>
        <w:autoSpaceDN w:val="0"/>
        <w:adjustRightInd w:val="0"/>
        <w:jc w:val="center"/>
        <w:rPr>
          <w:rFonts w:ascii="Tahoma" w:eastAsia="BatangChe" w:hAnsi="Tahoma" w:cs="Tahoma"/>
          <w:b/>
          <w:bCs/>
          <w:smallCaps/>
          <w:color w:val="0F243E" w:themeColor="text2" w:themeShade="80"/>
        </w:rPr>
      </w:pPr>
      <w:r w:rsidRPr="00840FA2">
        <w:rPr>
          <w:rFonts w:ascii="Tahoma" w:eastAsia="BatangChe" w:hAnsi="Tahoma" w:cs="Tahoma"/>
          <w:b/>
          <w:bCs/>
          <w:smallCaps/>
          <w:color w:val="6B0001"/>
        </w:rPr>
        <w:t>più basso</w:t>
      </w:r>
      <w:r w:rsidR="005B27BC" w:rsidRPr="00840FA2">
        <w:rPr>
          <w:rFonts w:ascii="Tahoma" w:eastAsia="BatangChe" w:hAnsi="Tahoma" w:cs="Tahoma"/>
          <w:b/>
          <w:bCs/>
          <w:smallCaps/>
          <w:color w:val="6B0001"/>
        </w:rPr>
        <w:t xml:space="preserve"> </w:t>
      </w:r>
      <w:r w:rsidR="005B27BC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rispetto a media nazionale</w:t>
      </w:r>
      <w:r w:rsidR="00422167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:</w:t>
      </w:r>
    </w:p>
    <w:p w:rsidR="002C16C0" w:rsidRPr="00840FA2" w:rsidRDefault="006A1F16" w:rsidP="00CF21C3">
      <w:pPr>
        <w:widowControl w:val="0"/>
        <w:autoSpaceDE w:val="0"/>
        <w:autoSpaceDN w:val="0"/>
        <w:adjustRightInd w:val="0"/>
        <w:jc w:val="center"/>
        <w:rPr>
          <w:rFonts w:ascii="Tahoma" w:eastAsia="BatangChe" w:hAnsi="Tahoma" w:cs="Tahoma"/>
          <w:b/>
          <w:bCs/>
          <w:smallCaps/>
          <w:color w:val="0F243E" w:themeColor="text2" w:themeShade="80"/>
        </w:rPr>
      </w:pPr>
      <w:r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AOSTA</w:t>
      </w:r>
      <w:r w:rsidR="00E6287D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, TRIESTE</w:t>
      </w:r>
      <w:r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 xml:space="preserve">, MASSA CARRARA, GENOVA, MILANO, </w:t>
      </w:r>
    </w:p>
    <w:p w:rsidR="00CF21C3" w:rsidRPr="00840FA2" w:rsidRDefault="006A1F16" w:rsidP="00CF21C3">
      <w:pPr>
        <w:widowControl w:val="0"/>
        <w:autoSpaceDE w:val="0"/>
        <w:autoSpaceDN w:val="0"/>
        <w:adjustRightInd w:val="0"/>
        <w:jc w:val="center"/>
        <w:rPr>
          <w:rFonts w:ascii="Tahoma" w:eastAsia="BatangChe" w:hAnsi="Tahoma" w:cs="Tahoma"/>
          <w:b/>
          <w:bCs/>
          <w:smallCaps/>
          <w:color w:val="0F243E" w:themeColor="text2" w:themeShade="80"/>
        </w:rPr>
      </w:pPr>
      <w:r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RIMINI, LUCCA, LIVORNO, ASCOLI PICENO</w:t>
      </w:r>
    </w:p>
    <w:p w:rsidR="00A70DB4" w:rsidRPr="00840FA2" w:rsidRDefault="00A70DB4" w:rsidP="00726089">
      <w:pPr>
        <w:widowControl w:val="0"/>
        <w:autoSpaceDE w:val="0"/>
        <w:autoSpaceDN w:val="0"/>
        <w:adjustRightInd w:val="0"/>
        <w:jc w:val="center"/>
        <w:rPr>
          <w:rFonts w:ascii="Tahoma" w:eastAsia="BatangChe" w:hAnsi="Tahoma" w:cs="Tahoma"/>
          <w:b/>
          <w:bCs/>
          <w:smallCaps/>
          <w:color w:val="0F243E" w:themeColor="text2" w:themeShade="80"/>
          <w:sz w:val="10"/>
          <w:szCs w:val="10"/>
        </w:rPr>
      </w:pPr>
    </w:p>
    <w:p w:rsidR="00624D4D" w:rsidRPr="00840FA2" w:rsidRDefault="00D0289E" w:rsidP="00A70DB4">
      <w:pPr>
        <w:widowControl w:val="0"/>
        <w:autoSpaceDE w:val="0"/>
        <w:autoSpaceDN w:val="0"/>
        <w:adjustRightInd w:val="0"/>
        <w:jc w:val="center"/>
        <w:rPr>
          <w:rFonts w:ascii="Tahoma" w:eastAsia="BatangChe" w:hAnsi="Tahoma" w:cs="Tahoma"/>
          <w:b/>
          <w:bCs/>
          <w:color w:val="C00000"/>
        </w:rPr>
      </w:pPr>
      <w:bookmarkStart w:id="1" w:name="_Hlk84352173"/>
      <w:r w:rsidRPr="00840FA2">
        <w:rPr>
          <w:rFonts w:ascii="Tahoma" w:eastAsia="BatangChe" w:hAnsi="Tahoma" w:cs="Tahoma"/>
          <w:b/>
          <w:bCs/>
          <w:color w:val="6B0001"/>
        </w:rPr>
        <w:t>MOBILIT</w:t>
      </w:r>
      <w:r w:rsidR="002C16C0" w:rsidRPr="00840FA2">
        <w:rPr>
          <w:rFonts w:ascii="Tahoma" w:eastAsia="BatangChe" w:hAnsi="Tahoma" w:cs="Tahoma"/>
          <w:b/>
          <w:bCs/>
          <w:color w:val="6B0001"/>
        </w:rPr>
        <w:t>À</w:t>
      </w:r>
      <w:r w:rsidRPr="00840FA2">
        <w:rPr>
          <w:rFonts w:ascii="Tahoma" w:eastAsia="BatangChe" w:hAnsi="Tahoma" w:cs="Tahoma"/>
          <w:b/>
          <w:bCs/>
          <w:color w:val="6B0001"/>
        </w:rPr>
        <w:t xml:space="preserve"> DOLCE</w:t>
      </w:r>
    </w:p>
    <w:p w:rsidR="00D0289E" w:rsidRPr="00840FA2" w:rsidRDefault="00D0289E" w:rsidP="00A70DB4">
      <w:pPr>
        <w:widowControl w:val="0"/>
        <w:autoSpaceDE w:val="0"/>
        <w:autoSpaceDN w:val="0"/>
        <w:adjustRightInd w:val="0"/>
        <w:jc w:val="center"/>
        <w:rPr>
          <w:rFonts w:ascii="Tahoma" w:eastAsia="BatangChe" w:hAnsi="Tahoma" w:cs="Tahoma"/>
          <w:b/>
          <w:bCs/>
          <w:smallCaps/>
          <w:color w:val="0F243E" w:themeColor="text2" w:themeShade="80"/>
        </w:rPr>
      </w:pPr>
      <w:r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MONOPATTINI</w:t>
      </w:r>
      <w:r w:rsidR="00FF02F1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:</w:t>
      </w:r>
      <w:r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 xml:space="preserve"> 2</w:t>
      </w:r>
      <w:r w:rsidR="00FF02F1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.</w:t>
      </w:r>
      <w:r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 xml:space="preserve">101 INCIDENTI </w:t>
      </w:r>
      <w:r w:rsidR="00FF02F1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e</w:t>
      </w:r>
      <w:r w:rsidR="00180510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 xml:space="preserve"> </w:t>
      </w:r>
      <w:r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9 MORTI</w:t>
      </w:r>
    </w:p>
    <w:p w:rsidR="00180510" w:rsidRPr="00840FA2" w:rsidRDefault="00180510" w:rsidP="00180510">
      <w:pPr>
        <w:widowControl w:val="0"/>
        <w:autoSpaceDE w:val="0"/>
        <w:autoSpaceDN w:val="0"/>
        <w:adjustRightInd w:val="0"/>
        <w:jc w:val="center"/>
        <w:rPr>
          <w:rFonts w:ascii="Tahoma" w:eastAsia="BatangChe" w:hAnsi="Tahoma" w:cs="Tahoma"/>
          <w:b/>
          <w:bCs/>
          <w:smallCaps/>
          <w:color w:val="0F243E" w:themeColor="text2" w:themeShade="80"/>
        </w:rPr>
      </w:pPr>
      <w:r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BICICLETTE: 15.771 INCIDENTI e 207 MORTI</w:t>
      </w:r>
    </w:p>
    <w:p w:rsidR="00D0289E" w:rsidRPr="00840FA2" w:rsidRDefault="00D0289E" w:rsidP="00A70DB4">
      <w:pPr>
        <w:widowControl w:val="0"/>
        <w:autoSpaceDE w:val="0"/>
        <w:autoSpaceDN w:val="0"/>
        <w:adjustRightInd w:val="0"/>
        <w:jc w:val="center"/>
        <w:rPr>
          <w:rFonts w:ascii="Tahoma" w:eastAsia="BatangChe" w:hAnsi="Tahoma" w:cs="Tahoma"/>
          <w:b/>
          <w:bCs/>
          <w:smallCaps/>
          <w:color w:val="0F243E" w:themeColor="text2" w:themeShade="80"/>
        </w:rPr>
      </w:pPr>
      <w:r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BICICLETTE ELETTRICHE</w:t>
      </w:r>
      <w:r w:rsidR="00FF02F1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: 691 INCIDENTI e 13 MORTI</w:t>
      </w:r>
    </w:p>
    <w:p w:rsidR="00D0289E" w:rsidRPr="00840FA2" w:rsidRDefault="00D0289E" w:rsidP="00A70DB4">
      <w:pPr>
        <w:widowControl w:val="0"/>
        <w:autoSpaceDE w:val="0"/>
        <w:autoSpaceDN w:val="0"/>
        <w:adjustRightInd w:val="0"/>
        <w:jc w:val="center"/>
        <w:rPr>
          <w:rFonts w:ascii="Tahoma" w:eastAsia="BatangChe" w:hAnsi="Tahoma" w:cs="Tahoma"/>
          <w:b/>
          <w:bCs/>
          <w:smallCaps/>
          <w:color w:val="0F243E" w:themeColor="text2" w:themeShade="80"/>
        </w:rPr>
      </w:pPr>
      <w:r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PEDONI</w:t>
      </w:r>
      <w:r w:rsidR="00180510" w:rsidRPr="00840FA2">
        <w:rPr>
          <w:rFonts w:ascii="Tahoma" w:eastAsia="BatangChe" w:hAnsi="Tahoma" w:cs="Tahoma"/>
          <w:b/>
          <w:bCs/>
          <w:smallCaps/>
          <w:color w:val="0F243E" w:themeColor="text2" w:themeShade="80"/>
        </w:rPr>
        <w:t>: 16.180 INCIDENTI E 471 MORTI</w:t>
      </w:r>
    </w:p>
    <w:p w:rsidR="005606FC" w:rsidRPr="00840FA2" w:rsidRDefault="005606FC" w:rsidP="00A70DB4">
      <w:pPr>
        <w:widowControl w:val="0"/>
        <w:autoSpaceDE w:val="0"/>
        <w:autoSpaceDN w:val="0"/>
        <w:adjustRightInd w:val="0"/>
        <w:jc w:val="center"/>
        <w:rPr>
          <w:rFonts w:ascii="Tahoma" w:eastAsia="BatangChe" w:hAnsi="Tahoma" w:cs="Tahoma"/>
          <w:b/>
          <w:bCs/>
          <w:smallCaps/>
          <w:color w:val="0F243E" w:themeColor="text2" w:themeShade="80"/>
          <w:sz w:val="20"/>
          <w:szCs w:val="20"/>
        </w:rPr>
      </w:pPr>
    </w:p>
    <w:bookmarkEnd w:id="1"/>
    <w:p w:rsidR="00726089" w:rsidRPr="00840FA2" w:rsidRDefault="00726089" w:rsidP="00726089">
      <w:pPr>
        <w:jc w:val="both"/>
        <w:rPr>
          <w:rFonts w:ascii="Tahoma" w:eastAsia="Gulim" w:hAnsi="Tahoma" w:cs="Tahoma"/>
        </w:rPr>
      </w:pPr>
      <w:r w:rsidRPr="00840FA2">
        <w:rPr>
          <w:rFonts w:ascii="Tahoma" w:eastAsia="Gulim" w:hAnsi="Tahoma" w:cs="Tahoma"/>
          <w:b/>
          <w:bCs/>
        </w:rPr>
        <w:t>Nel 20</w:t>
      </w:r>
      <w:r w:rsidR="00854AF0" w:rsidRPr="00840FA2">
        <w:rPr>
          <w:rFonts w:ascii="Tahoma" w:eastAsia="Gulim" w:hAnsi="Tahoma" w:cs="Tahoma"/>
          <w:b/>
          <w:bCs/>
        </w:rPr>
        <w:t>2</w:t>
      </w:r>
      <w:r w:rsidR="00380575" w:rsidRPr="00840FA2">
        <w:rPr>
          <w:rFonts w:ascii="Tahoma" w:eastAsia="Gulim" w:hAnsi="Tahoma" w:cs="Tahoma"/>
          <w:b/>
          <w:bCs/>
        </w:rPr>
        <w:t>1</w:t>
      </w:r>
      <w:r w:rsidRPr="00840FA2">
        <w:rPr>
          <w:rFonts w:ascii="Tahoma" w:eastAsia="Gulim" w:hAnsi="Tahoma" w:cs="Tahoma"/>
        </w:rPr>
        <w:t>,</w:t>
      </w:r>
      <w:r w:rsidRPr="00840FA2">
        <w:rPr>
          <w:rFonts w:ascii="Tahoma" w:eastAsia="Gulim" w:hAnsi="Tahoma" w:cs="Tahoma"/>
          <w:b/>
          <w:bCs/>
        </w:rPr>
        <w:t xml:space="preserve"> sulle strade italiane</w:t>
      </w:r>
      <w:r w:rsidRPr="00840FA2">
        <w:rPr>
          <w:rFonts w:ascii="Tahoma" w:eastAsia="Gulim" w:hAnsi="Tahoma" w:cs="Tahoma"/>
        </w:rPr>
        <w:t xml:space="preserve">, si sono registrati </w:t>
      </w:r>
      <w:r w:rsidRPr="00840FA2">
        <w:rPr>
          <w:rFonts w:ascii="Tahoma" w:eastAsia="Gulim" w:hAnsi="Tahoma" w:cs="Tahoma"/>
          <w:b/>
        </w:rPr>
        <w:t>1</w:t>
      </w:r>
      <w:r w:rsidR="00380575" w:rsidRPr="00840FA2">
        <w:rPr>
          <w:rFonts w:ascii="Tahoma" w:eastAsia="Gulim" w:hAnsi="Tahoma" w:cs="Tahoma"/>
          <w:b/>
        </w:rPr>
        <w:t>51</w:t>
      </w:r>
      <w:r w:rsidR="00854AF0" w:rsidRPr="00840FA2">
        <w:rPr>
          <w:rFonts w:ascii="Tahoma" w:eastAsia="Gulim" w:hAnsi="Tahoma" w:cs="Tahoma"/>
          <w:b/>
        </w:rPr>
        <w:t>.</w:t>
      </w:r>
      <w:r w:rsidR="00380575" w:rsidRPr="00840FA2">
        <w:rPr>
          <w:rFonts w:ascii="Tahoma" w:eastAsia="Gulim" w:hAnsi="Tahoma" w:cs="Tahoma"/>
          <w:b/>
        </w:rPr>
        <w:t>875</w:t>
      </w:r>
      <w:r w:rsidRPr="00840FA2">
        <w:rPr>
          <w:rFonts w:ascii="Tahoma" w:eastAsia="Gulim" w:hAnsi="Tahoma" w:cs="Tahoma"/>
          <w:b/>
        </w:rPr>
        <w:t xml:space="preserve"> incidenti</w:t>
      </w:r>
      <w:r w:rsidRPr="00840FA2">
        <w:rPr>
          <w:rFonts w:ascii="Tahoma" w:eastAsia="Gulim" w:hAnsi="Tahoma" w:cs="Tahoma"/>
        </w:rPr>
        <w:t xml:space="preserve"> con lesioni a persone, che hanno causato </w:t>
      </w:r>
      <w:r w:rsidR="00854AF0" w:rsidRPr="00840FA2">
        <w:rPr>
          <w:rFonts w:ascii="Tahoma" w:eastAsia="Gulim" w:hAnsi="Tahoma" w:cs="Tahoma"/>
          <w:b/>
          <w:bCs/>
        </w:rPr>
        <w:t>2.</w:t>
      </w:r>
      <w:r w:rsidR="00380575" w:rsidRPr="00840FA2">
        <w:rPr>
          <w:rFonts w:ascii="Tahoma" w:eastAsia="Gulim" w:hAnsi="Tahoma" w:cs="Tahoma"/>
          <w:b/>
          <w:bCs/>
        </w:rPr>
        <w:t>87</w:t>
      </w:r>
      <w:r w:rsidR="00854AF0" w:rsidRPr="00840FA2">
        <w:rPr>
          <w:rFonts w:ascii="Tahoma" w:eastAsia="Gulim" w:hAnsi="Tahoma" w:cs="Tahoma"/>
          <w:b/>
          <w:bCs/>
        </w:rPr>
        <w:t>5</w:t>
      </w:r>
      <w:r w:rsidRPr="00840FA2">
        <w:rPr>
          <w:rFonts w:ascii="Tahoma" w:eastAsia="Gulim" w:hAnsi="Tahoma" w:cs="Tahoma"/>
          <w:b/>
        </w:rPr>
        <w:t xml:space="preserve"> decessi</w:t>
      </w:r>
      <w:r w:rsidRPr="00840FA2">
        <w:rPr>
          <w:rFonts w:ascii="Tahoma" w:eastAsia="Gulim" w:hAnsi="Tahoma" w:cs="Tahoma"/>
        </w:rPr>
        <w:t xml:space="preserve"> e </w:t>
      </w:r>
      <w:r w:rsidR="00380575" w:rsidRPr="00840FA2">
        <w:rPr>
          <w:rFonts w:ascii="Tahoma" w:eastAsia="Gulim" w:hAnsi="Tahoma" w:cs="Tahoma"/>
          <w:b/>
          <w:bCs/>
        </w:rPr>
        <w:t>204</w:t>
      </w:r>
      <w:r w:rsidR="001237AA" w:rsidRPr="00840FA2">
        <w:rPr>
          <w:rFonts w:ascii="Tahoma" w:eastAsia="Gulim" w:hAnsi="Tahoma" w:cs="Tahoma"/>
          <w:b/>
          <w:bCs/>
        </w:rPr>
        <w:t>.</w:t>
      </w:r>
      <w:r w:rsidR="00380575" w:rsidRPr="00840FA2">
        <w:rPr>
          <w:rFonts w:ascii="Tahoma" w:eastAsia="Gulim" w:hAnsi="Tahoma" w:cs="Tahoma"/>
          <w:b/>
          <w:bCs/>
        </w:rPr>
        <w:t>728</w:t>
      </w:r>
      <w:r w:rsidRPr="00840FA2">
        <w:rPr>
          <w:rFonts w:ascii="Tahoma" w:eastAsia="Gulim" w:hAnsi="Tahoma" w:cs="Tahoma"/>
          <w:b/>
        </w:rPr>
        <w:t xml:space="preserve"> feriti</w:t>
      </w:r>
      <w:r w:rsidRPr="00840FA2">
        <w:rPr>
          <w:rFonts w:ascii="Tahoma" w:eastAsia="Gulim" w:hAnsi="Tahoma" w:cs="Tahoma"/>
        </w:rPr>
        <w:t xml:space="preserve">. In media, rispettivamente, </w:t>
      </w:r>
      <w:r w:rsidR="00380575" w:rsidRPr="00840FA2">
        <w:rPr>
          <w:rFonts w:ascii="Tahoma" w:eastAsia="Gulim" w:hAnsi="Tahoma" w:cs="Tahoma"/>
          <w:b/>
          <w:bCs/>
        </w:rPr>
        <w:t>416</w:t>
      </w:r>
      <w:r w:rsidRPr="00840FA2">
        <w:rPr>
          <w:rFonts w:ascii="Tahoma" w:eastAsia="Gulim" w:hAnsi="Tahoma" w:cs="Tahoma"/>
          <w:b/>
        </w:rPr>
        <w:t xml:space="preserve"> incidenti</w:t>
      </w:r>
      <w:r w:rsidRPr="00840FA2">
        <w:rPr>
          <w:rFonts w:ascii="Tahoma" w:eastAsia="Gulim" w:hAnsi="Tahoma" w:cs="Tahoma"/>
        </w:rPr>
        <w:t>,</w:t>
      </w:r>
      <w:r w:rsidRPr="00840FA2">
        <w:rPr>
          <w:rFonts w:ascii="Tahoma" w:eastAsia="Gulim" w:hAnsi="Tahoma" w:cs="Tahoma"/>
          <w:b/>
          <w:bCs/>
        </w:rPr>
        <w:t xml:space="preserve"> </w:t>
      </w:r>
      <w:r w:rsidR="00380575" w:rsidRPr="00840FA2">
        <w:rPr>
          <w:rFonts w:ascii="Tahoma" w:eastAsia="Gulim" w:hAnsi="Tahoma" w:cs="Tahoma"/>
          <w:b/>
          <w:bCs/>
        </w:rPr>
        <w:t xml:space="preserve">7,9 </w:t>
      </w:r>
      <w:r w:rsidRPr="00840FA2">
        <w:rPr>
          <w:rFonts w:ascii="Tahoma" w:eastAsia="Gulim" w:hAnsi="Tahoma" w:cs="Tahoma"/>
          <w:b/>
        </w:rPr>
        <w:t xml:space="preserve">morti e </w:t>
      </w:r>
      <w:r w:rsidR="00380575" w:rsidRPr="00840FA2">
        <w:rPr>
          <w:rFonts w:ascii="Tahoma" w:eastAsia="Gulim" w:hAnsi="Tahoma" w:cs="Tahoma"/>
          <w:b/>
        </w:rPr>
        <w:t>561</w:t>
      </w:r>
      <w:r w:rsidRPr="00840FA2">
        <w:rPr>
          <w:rFonts w:ascii="Tahoma" w:eastAsia="Gulim" w:hAnsi="Tahoma" w:cs="Tahoma"/>
          <w:b/>
        </w:rPr>
        <w:t xml:space="preserve"> feriti ogni giorno</w:t>
      </w:r>
      <w:r w:rsidRPr="00840FA2">
        <w:rPr>
          <w:rFonts w:ascii="Tahoma" w:eastAsia="Gulim" w:hAnsi="Tahoma" w:cs="Tahoma"/>
        </w:rPr>
        <w:t>.</w:t>
      </w:r>
    </w:p>
    <w:p w:rsidR="00726089" w:rsidRPr="00840FA2" w:rsidRDefault="00726089" w:rsidP="00726089">
      <w:pPr>
        <w:jc w:val="both"/>
        <w:rPr>
          <w:rFonts w:ascii="Tahoma" w:eastAsia="Gulim" w:hAnsi="Tahoma" w:cs="Tahoma"/>
        </w:rPr>
      </w:pPr>
    </w:p>
    <w:p w:rsidR="001B2E46" w:rsidRPr="00840FA2" w:rsidRDefault="00726089" w:rsidP="00726089">
      <w:pPr>
        <w:jc w:val="both"/>
        <w:rPr>
          <w:rFonts w:ascii="Tahoma" w:eastAsia="Gulim" w:hAnsi="Tahoma" w:cs="Tahoma"/>
        </w:rPr>
      </w:pPr>
      <w:r w:rsidRPr="00840FA2">
        <w:rPr>
          <w:rFonts w:ascii="Tahoma" w:eastAsia="Gulim" w:hAnsi="Tahoma" w:cs="Tahoma"/>
          <w:b/>
        </w:rPr>
        <w:t>Le statistiche provinciali, elaborate da ACI e Istat</w:t>
      </w:r>
      <w:r w:rsidR="00D0289E" w:rsidRPr="00840FA2">
        <w:rPr>
          <w:rFonts w:ascii="Tahoma" w:eastAsia="Gulim" w:hAnsi="Tahoma" w:cs="Tahoma"/>
          <w:b/>
        </w:rPr>
        <w:t xml:space="preserve"> </w:t>
      </w:r>
      <w:r w:rsidR="00D0289E" w:rsidRPr="00840FA2">
        <w:rPr>
          <w:rFonts w:ascii="Tahoma" w:eastAsia="Gulim" w:hAnsi="Tahoma" w:cs="Tahoma"/>
          <w:bCs/>
        </w:rPr>
        <w:t>a completamento di quanto già elaborato a luglio</w:t>
      </w:r>
      <w:r w:rsidR="003350E1" w:rsidRPr="00840FA2">
        <w:rPr>
          <w:rFonts w:ascii="Tahoma" w:eastAsia="Gulim" w:hAnsi="Tahoma" w:cs="Tahoma"/>
          <w:bCs/>
        </w:rPr>
        <w:t>,</w:t>
      </w:r>
      <w:r w:rsidRPr="00840FA2">
        <w:rPr>
          <w:rFonts w:ascii="Tahoma" w:eastAsia="Gulim" w:hAnsi="Tahoma" w:cs="Tahoma"/>
        </w:rPr>
        <w:t xml:space="preserve"> mostrano una </w:t>
      </w:r>
      <w:r w:rsidRPr="00840FA2">
        <w:rPr>
          <w:rFonts w:ascii="Tahoma" w:eastAsia="Gulim" w:hAnsi="Tahoma" w:cs="Tahoma"/>
          <w:b/>
          <w:bCs/>
        </w:rPr>
        <w:t xml:space="preserve">situazione </w:t>
      </w:r>
      <w:r w:rsidR="00D058B5" w:rsidRPr="00840FA2">
        <w:rPr>
          <w:rFonts w:ascii="Tahoma" w:eastAsia="Gulim" w:hAnsi="Tahoma" w:cs="Tahoma"/>
          <w:b/>
          <w:bCs/>
        </w:rPr>
        <w:t>di graduale ritorno alla normalità in seguito all’allentamento delle restrizioni</w:t>
      </w:r>
      <w:r w:rsidR="00A80ECE" w:rsidRPr="00840FA2">
        <w:rPr>
          <w:rFonts w:ascii="Tahoma" w:eastAsia="Gulim" w:hAnsi="Tahoma" w:cs="Tahoma"/>
          <w:b/>
          <w:bCs/>
        </w:rPr>
        <w:t xml:space="preserve"> impost</w:t>
      </w:r>
      <w:r w:rsidR="00D058B5" w:rsidRPr="00840FA2">
        <w:rPr>
          <w:rFonts w:ascii="Tahoma" w:eastAsia="Gulim" w:hAnsi="Tahoma" w:cs="Tahoma"/>
          <w:b/>
          <w:bCs/>
        </w:rPr>
        <w:t>e</w:t>
      </w:r>
      <w:r w:rsidR="00A80ECE" w:rsidRPr="00840FA2">
        <w:rPr>
          <w:rFonts w:ascii="Tahoma" w:eastAsia="Gulim" w:hAnsi="Tahoma" w:cs="Tahoma"/>
          <w:b/>
          <w:bCs/>
        </w:rPr>
        <w:t xml:space="preserve"> dalla pandemia da Covid-19. </w:t>
      </w:r>
      <w:r w:rsidR="00D058B5" w:rsidRPr="00840FA2">
        <w:rPr>
          <w:rFonts w:ascii="Tahoma" w:eastAsia="Gulim" w:hAnsi="Tahoma" w:cs="Tahoma"/>
          <w:b/>
          <w:bCs/>
        </w:rPr>
        <w:t>In</w:t>
      </w:r>
      <w:r w:rsidR="008F501F" w:rsidRPr="00840FA2">
        <w:rPr>
          <w:rFonts w:ascii="Tahoma" w:eastAsia="Gulim" w:hAnsi="Tahoma" w:cs="Tahoma"/>
          <w:b/>
          <w:bCs/>
        </w:rPr>
        <w:t xml:space="preserve"> </w:t>
      </w:r>
      <w:r w:rsidR="00930EFF" w:rsidRPr="00840FA2">
        <w:rPr>
          <w:rFonts w:ascii="Tahoma" w:eastAsia="Gulim" w:hAnsi="Tahoma" w:cs="Tahoma"/>
          <w:b/>
          <w:bCs/>
        </w:rPr>
        <w:t>40</w:t>
      </w:r>
      <w:r w:rsidR="00AB5898" w:rsidRPr="00840FA2">
        <w:rPr>
          <w:rFonts w:ascii="Tahoma" w:eastAsia="Gulim" w:hAnsi="Tahoma" w:cs="Tahoma"/>
          <w:b/>
          <w:bCs/>
        </w:rPr>
        <w:t xml:space="preserve"> </w:t>
      </w:r>
      <w:r w:rsidRPr="00840FA2">
        <w:rPr>
          <w:rFonts w:ascii="Tahoma" w:eastAsia="Gulim" w:hAnsi="Tahoma" w:cs="Tahoma"/>
          <w:b/>
          <w:bCs/>
        </w:rPr>
        <w:t>province</w:t>
      </w:r>
      <w:r w:rsidR="00AB5898" w:rsidRPr="00840FA2">
        <w:rPr>
          <w:rFonts w:ascii="Tahoma" w:eastAsia="Gulim" w:hAnsi="Tahoma" w:cs="Tahoma"/>
          <w:b/>
          <w:bCs/>
        </w:rPr>
        <w:t xml:space="preserve"> </w:t>
      </w:r>
      <w:r w:rsidR="00AB5898" w:rsidRPr="00840FA2">
        <w:rPr>
          <w:rFonts w:ascii="Tahoma" w:eastAsia="Gulim" w:hAnsi="Tahoma" w:cs="Tahoma"/>
          <w:bCs/>
        </w:rPr>
        <w:t>(su 107</w:t>
      </w:r>
      <w:r w:rsidR="00A34E4B" w:rsidRPr="00840FA2">
        <w:rPr>
          <w:rFonts w:ascii="Tahoma" w:eastAsia="Gulim" w:hAnsi="Tahoma" w:cs="Tahoma"/>
          <w:bCs/>
        </w:rPr>
        <w:t>)</w:t>
      </w:r>
      <w:r w:rsidR="00A34E4B" w:rsidRPr="00840FA2">
        <w:rPr>
          <w:rFonts w:ascii="Tahoma" w:eastAsia="Gulim" w:hAnsi="Tahoma" w:cs="Tahoma"/>
          <w:b/>
          <w:bCs/>
        </w:rPr>
        <w:t xml:space="preserve"> </w:t>
      </w:r>
      <w:r w:rsidRPr="00840FA2">
        <w:rPr>
          <w:rFonts w:ascii="Tahoma" w:eastAsia="Gulim" w:hAnsi="Tahoma" w:cs="Tahoma"/>
        </w:rPr>
        <w:t xml:space="preserve">il </w:t>
      </w:r>
      <w:r w:rsidRPr="00840FA2">
        <w:rPr>
          <w:rFonts w:ascii="Tahoma" w:eastAsia="Gulim" w:hAnsi="Tahoma" w:cs="Tahoma"/>
          <w:b/>
          <w:bCs/>
        </w:rPr>
        <w:t>numero di decessi</w:t>
      </w:r>
      <w:r w:rsidR="00E45673" w:rsidRPr="00840FA2">
        <w:rPr>
          <w:rFonts w:ascii="Tahoma" w:eastAsia="Gulim" w:hAnsi="Tahoma" w:cs="Tahoma"/>
        </w:rPr>
        <w:t xml:space="preserve"> </w:t>
      </w:r>
      <w:r w:rsidR="00930EFF" w:rsidRPr="00840FA2">
        <w:rPr>
          <w:rFonts w:ascii="Tahoma" w:eastAsia="Gulim" w:hAnsi="Tahoma" w:cs="Tahoma"/>
          <w:b/>
          <w:bCs/>
        </w:rPr>
        <w:t>rispetto al 2019</w:t>
      </w:r>
      <w:r w:rsidR="002C16C0" w:rsidRPr="00840FA2">
        <w:rPr>
          <w:rFonts w:ascii="Tahoma" w:eastAsia="Gulim" w:hAnsi="Tahoma" w:cs="Tahoma"/>
          <w:b/>
          <w:bCs/>
        </w:rPr>
        <w:t xml:space="preserve"> - </w:t>
      </w:r>
      <w:r w:rsidR="00D0289E" w:rsidRPr="00840FA2">
        <w:rPr>
          <w:rFonts w:ascii="Tahoma" w:eastAsia="Gulim" w:hAnsi="Tahoma" w:cs="Tahoma"/>
        </w:rPr>
        <w:t>anno scelto come riferimento per l’obiettivo 2030</w:t>
      </w:r>
      <w:r w:rsidR="002C16C0" w:rsidRPr="00840FA2">
        <w:rPr>
          <w:rFonts w:ascii="Tahoma" w:eastAsia="Gulim" w:hAnsi="Tahoma" w:cs="Tahoma"/>
        </w:rPr>
        <w:t xml:space="preserve"> </w:t>
      </w:r>
      <w:r w:rsidR="002C16C0" w:rsidRPr="00840FA2">
        <w:rPr>
          <w:rFonts w:ascii="Tahoma" w:eastAsia="Gulim" w:hAnsi="Tahoma" w:cs="Tahoma"/>
          <w:b/>
          <w:bCs/>
        </w:rPr>
        <w:t>-</w:t>
      </w:r>
      <w:r w:rsidR="002C16C0" w:rsidRPr="00840FA2">
        <w:rPr>
          <w:rFonts w:ascii="Tahoma" w:eastAsia="Gulim" w:hAnsi="Tahoma" w:cs="Tahoma"/>
        </w:rPr>
        <w:t xml:space="preserve"> </w:t>
      </w:r>
      <w:r w:rsidR="00E45673" w:rsidRPr="00840FA2">
        <w:rPr>
          <w:rFonts w:ascii="Tahoma" w:eastAsia="Gulim" w:hAnsi="Tahoma" w:cs="Tahoma"/>
          <w:b/>
          <w:bCs/>
        </w:rPr>
        <w:t xml:space="preserve">è </w:t>
      </w:r>
      <w:r w:rsidR="00930EFF" w:rsidRPr="00840FA2">
        <w:rPr>
          <w:rFonts w:ascii="Tahoma" w:eastAsia="Gulim" w:hAnsi="Tahoma" w:cs="Tahoma"/>
          <w:b/>
        </w:rPr>
        <w:t>aumenta</w:t>
      </w:r>
      <w:r w:rsidR="00E45673" w:rsidRPr="00840FA2">
        <w:rPr>
          <w:rFonts w:ascii="Tahoma" w:eastAsia="Gulim" w:hAnsi="Tahoma" w:cs="Tahoma"/>
          <w:b/>
        </w:rPr>
        <w:t>to</w:t>
      </w:r>
      <w:r w:rsidR="009A1097" w:rsidRPr="00840FA2">
        <w:rPr>
          <w:rFonts w:ascii="Tahoma" w:eastAsia="Gulim" w:hAnsi="Tahoma" w:cs="Tahoma"/>
          <w:b/>
        </w:rPr>
        <w:t xml:space="preserve"> ed in 7 è rimasto stabile</w:t>
      </w:r>
      <w:r w:rsidRPr="00840FA2">
        <w:rPr>
          <w:rFonts w:ascii="Tahoma" w:eastAsia="Gulim" w:hAnsi="Tahoma" w:cs="Tahoma"/>
        </w:rPr>
        <w:t xml:space="preserve">. </w:t>
      </w:r>
    </w:p>
    <w:p w:rsidR="001B2E46" w:rsidRPr="00840FA2" w:rsidRDefault="001B2E46" w:rsidP="00726089">
      <w:pPr>
        <w:jc w:val="both"/>
        <w:rPr>
          <w:rFonts w:ascii="Tahoma" w:eastAsia="Gulim" w:hAnsi="Tahoma" w:cs="Tahoma"/>
        </w:rPr>
      </w:pPr>
    </w:p>
    <w:p w:rsidR="00726089" w:rsidRPr="00840FA2" w:rsidRDefault="00161FAB" w:rsidP="00726089">
      <w:pPr>
        <w:jc w:val="both"/>
        <w:rPr>
          <w:rFonts w:ascii="Tahoma" w:eastAsia="Gulim" w:hAnsi="Tahoma" w:cs="Tahoma"/>
        </w:rPr>
      </w:pPr>
      <w:r w:rsidRPr="00840FA2">
        <w:rPr>
          <w:rFonts w:ascii="Tahoma" w:eastAsia="Gulim" w:hAnsi="Tahoma" w:cs="Tahoma"/>
          <w:b/>
          <w:bCs/>
        </w:rPr>
        <w:t>Oristano</w:t>
      </w:r>
      <w:r w:rsidR="00726089" w:rsidRPr="00840FA2">
        <w:rPr>
          <w:rFonts w:ascii="Tahoma" w:eastAsia="Gulim" w:hAnsi="Tahoma" w:cs="Tahoma"/>
        </w:rPr>
        <w:t xml:space="preserve"> </w:t>
      </w:r>
      <w:bookmarkStart w:id="2" w:name="_Hlk84404036"/>
      <w:r w:rsidR="007A3E01" w:rsidRPr="00840FA2">
        <w:rPr>
          <w:rFonts w:ascii="Tahoma" w:eastAsia="Gulim" w:hAnsi="Tahoma" w:cs="Tahoma"/>
        </w:rPr>
        <w:t>(+</w:t>
      </w:r>
      <w:r w:rsidRPr="00840FA2">
        <w:rPr>
          <w:rFonts w:ascii="Tahoma" w:eastAsia="Gulim" w:hAnsi="Tahoma" w:cs="Tahoma"/>
        </w:rPr>
        <w:t>1</w:t>
      </w:r>
      <w:r w:rsidR="007A3E01" w:rsidRPr="00840FA2">
        <w:rPr>
          <w:rFonts w:ascii="Tahoma" w:eastAsia="Gulim" w:hAnsi="Tahoma" w:cs="Tahoma"/>
        </w:rPr>
        <w:t>4</w:t>
      </w:r>
      <w:r w:rsidRPr="00840FA2">
        <w:rPr>
          <w:rFonts w:ascii="Tahoma" w:eastAsia="Gulim" w:hAnsi="Tahoma" w:cs="Tahoma"/>
        </w:rPr>
        <w:t>0</w:t>
      </w:r>
      <w:r w:rsidR="001B2E46" w:rsidRPr="00840FA2">
        <w:rPr>
          <w:rFonts w:ascii="Tahoma" w:eastAsia="Gulim" w:hAnsi="Tahoma" w:cs="Tahoma"/>
        </w:rPr>
        <w:t xml:space="preserve">%: </w:t>
      </w:r>
      <w:r w:rsidRPr="00840FA2">
        <w:rPr>
          <w:rFonts w:ascii="Tahoma" w:eastAsia="Gulim" w:hAnsi="Tahoma" w:cs="Tahoma"/>
        </w:rPr>
        <w:t>1</w:t>
      </w:r>
      <w:r w:rsidR="007A3E01" w:rsidRPr="00840FA2">
        <w:rPr>
          <w:rFonts w:ascii="Tahoma" w:eastAsia="Gulim" w:hAnsi="Tahoma" w:cs="Tahoma"/>
        </w:rPr>
        <w:t xml:space="preserve">2 morti nel 2021, </w:t>
      </w:r>
      <w:r w:rsidRPr="00840FA2">
        <w:rPr>
          <w:rFonts w:ascii="Tahoma" w:eastAsia="Gulim" w:hAnsi="Tahoma" w:cs="Tahoma"/>
        </w:rPr>
        <w:t>5</w:t>
      </w:r>
      <w:r w:rsidR="007A3E01" w:rsidRPr="00840FA2">
        <w:rPr>
          <w:rFonts w:ascii="Tahoma" w:eastAsia="Gulim" w:hAnsi="Tahoma" w:cs="Tahoma"/>
        </w:rPr>
        <w:t xml:space="preserve"> nel 2019</w:t>
      </w:r>
      <w:r w:rsidR="00726089" w:rsidRPr="00840FA2">
        <w:rPr>
          <w:rFonts w:ascii="Tahoma" w:eastAsia="Gulim" w:hAnsi="Tahoma" w:cs="Tahoma"/>
        </w:rPr>
        <w:t>)</w:t>
      </w:r>
      <w:bookmarkEnd w:id="2"/>
      <w:r w:rsidR="00726089" w:rsidRPr="00840FA2">
        <w:rPr>
          <w:rFonts w:ascii="Tahoma" w:eastAsia="Gulim" w:hAnsi="Tahoma" w:cs="Tahoma"/>
        </w:rPr>
        <w:t xml:space="preserve">, </w:t>
      </w:r>
      <w:r w:rsidRPr="00840FA2">
        <w:rPr>
          <w:rFonts w:ascii="Tahoma" w:eastAsia="Gulim" w:hAnsi="Tahoma" w:cs="Tahoma"/>
          <w:b/>
          <w:bCs/>
        </w:rPr>
        <w:t>Savona</w:t>
      </w:r>
      <w:r w:rsidR="00AB5898" w:rsidRPr="00840FA2">
        <w:rPr>
          <w:rFonts w:ascii="Tahoma" w:eastAsia="Gulim" w:hAnsi="Tahoma" w:cs="Tahoma"/>
          <w:b/>
          <w:bCs/>
        </w:rPr>
        <w:t xml:space="preserve"> </w:t>
      </w:r>
      <w:bookmarkStart w:id="3" w:name="_Hlk115777995"/>
      <w:r w:rsidR="00AB5898" w:rsidRPr="00840FA2">
        <w:rPr>
          <w:rFonts w:ascii="Tahoma" w:eastAsia="Gulim" w:hAnsi="Tahoma" w:cs="Tahoma"/>
        </w:rPr>
        <w:t>(+</w:t>
      </w:r>
      <w:r w:rsidRPr="00840FA2">
        <w:rPr>
          <w:rFonts w:ascii="Tahoma" w:eastAsia="Gulim" w:hAnsi="Tahoma" w:cs="Tahoma"/>
        </w:rPr>
        <w:t>67</w:t>
      </w:r>
      <w:r w:rsidR="00AB5898" w:rsidRPr="00840FA2">
        <w:rPr>
          <w:rFonts w:ascii="Tahoma" w:eastAsia="Gulim" w:hAnsi="Tahoma" w:cs="Tahoma"/>
        </w:rPr>
        <w:t>%</w:t>
      </w:r>
      <w:r w:rsidR="001B2E46" w:rsidRPr="00840FA2">
        <w:rPr>
          <w:rFonts w:ascii="Tahoma" w:eastAsia="Gulim" w:hAnsi="Tahoma" w:cs="Tahoma"/>
        </w:rPr>
        <w:t>:</w:t>
      </w:r>
      <w:r w:rsidR="00AB5898" w:rsidRPr="00840FA2">
        <w:rPr>
          <w:rFonts w:ascii="Tahoma" w:eastAsia="Gulim" w:hAnsi="Tahoma" w:cs="Tahoma"/>
        </w:rPr>
        <w:t xml:space="preserve"> </w:t>
      </w:r>
      <w:bookmarkStart w:id="4" w:name="_Hlk84404310"/>
      <w:r w:rsidRPr="00840FA2">
        <w:rPr>
          <w:rFonts w:ascii="Tahoma" w:eastAsia="Gulim" w:hAnsi="Tahoma" w:cs="Tahoma"/>
        </w:rPr>
        <w:t>20</w:t>
      </w:r>
      <w:r w:rsidR="00AB5898" w:rsidRPr="00840FA2">
        <w:rPr>
          <w:rFonts w:ascii="Tahoma" w:eastAsia="Gulim" w:hAnsi="Tahoma" w:cs="Tahoma"/>
        </w:rPr>
        <w:t xml:space="preserve"> morti nel 202</w:t>
      </w:r>
      <w:r w:rsidR="007A3E01" w:rsidRPr="00840FA2">
        <w:rPr>
          <w:rFonts w:ascii="Tahoma" w:eastAsia="Gulim" w:hAnsi="Tahoma" w:cs="Tahoma"/>
        </w:rPr>
        <w:t>1</w:t>
      </w:r>
      <w:r w:rsidR="00AB5898" w:rsidRPr="00840FA2">
        <w:rPr>
          <w:rFonts w:ascii="Tahoma" w:eastAsia="Gulim" w:hAnsi="Tahoma" w:cs="Tahoma"/>
        </w:rPr>
        <w:t xml:space="preserve">, </w:t>
      </w:r>
      <w:r w:rsidRPr="00840FA2">
        <w:rPr>
          <w:rFonts w:ascii="Tahoma" w:eastAsia="Gulim" w:hAnsi="Tahoma" w:cs="Tahoma"/>
        </w:rPr>
        <w:t>12</w:t>
      </w:r>
      <w:r w:rsidR="00AB5898" w:rsidRPr="00840FA2">
        <w:rPr>
          <w:rFonts w:ascii="Tahoma" w:eastAsia="Gulim" w:hAnsi="Tahoma" w:cs="Tahoma"/>
        </w:rPr>
        <w:t xml:space="preserve"> nel 2019</w:t>
      </w:r>
      <w:bookmarkEnd w:id="3"/>
      <w:bookmarkEnd w:id="4"/>
      <w:r w:rsidR="00AB5898" w:rsidRPr="00840FA2">
        <w:rPr>
          <w:rFonts w:ascii="Tahoma" w:eastAsia="Gulim" w:hAnsi="Tahoma" w:cs="Tahoma"/>
        </w:rPr>
        <w:t>)</w:t>
      </w:r>
      <w:r w:rsidR="00726089" w:rsidRPr="00840FA2">
        <w:rPr>
          <w:rFonts w:ascii="Tahoma" w:eastAsia="Gulim" w:hAnsi="Tahoma" w:cs="Tahoma"/>
        </w:rPr>
        <w:t xml:space="preserve"> e </w:t>
      </w:r>
      <w:r w:rsidRPr="00840FA2">
        <w:rPr>
          <w:rFonts w:ascii="Tahoma" w:eastAsia="Gulim" w:hAnsi="Tahoma" w:cs="Tahoma"/>
          <w:b/>
          <w:bCs/>
        </w:rPr>
        <w:t>Biella</w:t>
      </w:r>
      <w:r w:rsidR="00726089" w:rsidRPr="00840FA2">
        <w:rPr>
          <w:rFonts w:ascii="Tahoma" w:eastAsia="Gulim" w:hAnsi="Tahoma" w:cs="Tahoma"/>
        </w:rPr>
        <w:t xml:space="preserve"> (+</w:t>
      </w:r>
      <w:r w:rsidR="0060346A" w:rsidRPr="00840FA2">
        <w:rPr>
          <w:rFonts w:ascii="Tahoma" w:eastAsia="Gulim" w:hAnsi="Tahoma" w:cs="Tahoma"/>
        </w:rPr>
        <w:t>63</w:t>
      </w:r>
      <w:r w:rsidR="00AB5898" w:rsidRPr="00840FA2">
        <w:rPr>
          <w:rFonts w:ascii="Tahoma" w:eastAsia="Gulim" w:hAnsi="Tahoma" w:cs="Tahoma"/>
        </w:rPr>
        <w:t>%</w:t>
      </w:r>
      <w:r w:rsidR="001B2E46" w:rsidRPr="00840FA2">
        <w:rPr>
          <w:rFonts w:ascii="Tahoma" w:eastAsia="Gulim" w:hAnsi="Tahoma" w:cs="Tahoma"/>
        </w:rPr>
        <w:t>:</w:t>
      </w:r>
      <w:r w:rsidR="00AB5898" w:rsidRPr="00840FA2">
        <w:rPr>
          <w:rFonts w:ascii="Tahoma" w:eastAsia="Gulim" w:hAnsi="Tahoma" w:cs="Tahoma"/>
        </w:rPr>
        <w:t xml:space="preserve"> </w:t>
      </w:r>
      <w:r w:rsidR="0060346A" w:rsidRPr="00840FA2">
        <w:rPr>
          <w:rFonts w:ascii="Tahoma" w:eastAsia="Gulim" w:hAnsi="Tahoma" w:cs="Tahoma"/>
        </w:rPr>
        <w:t>13</w:t>
      </w:r>
      <w:r w:rsidR="00AB5898" w:rsidRPr="00840FA2">
        <w:rPr>
          <w:rFonts w:ascii="Tahoma" w:eastAsia="Gulim" w:hAnsi="Tahoma" w:cs="Tahoma"/>
        </w:rPr>
        <w:t xml:space="preserve"> morti nel 202</w:t>
      </w:r>
      <w:r w:rsidR="007A3E01" w:rsidRPr="00840FA2">
        <w:rPr>
          <w:rFonts w:ascii="Tahoma" w:eastAsia="Gulim" w:hAnsi="Tahoma" w:cs="Tahoma"/>
        </w:rPr>
        <w:t>1</w:t>
      </w:r>
      <w:r w:rsidR="00AB5898" w:rsidRPr="00840FA2">
        <w:rPr>
          <w:rFonts w:ascii="Tahoma" w:eastAsia="Gulim" w:hAnsi="Tahoma" w:cs="Tahoma"/>
        </w:rPr>
        <w:t xml:space="preserve">, </w:t>
      </w:r>
      <w:r w:rsidR="0060346A" w:rsidRPr="00840FA2">
        <w:rPr>
          <w:rFonts w:ascii="Tahoma" w:eastAsia="Gulim" w:hAnsi="Tahoma" w:cs="Tahoma"/>
        </w:rPr>
        <w:t>8</w:t>
      </w:r>
      <w:r w:rsidR="007A3E01" w:rsidRPr="00840FA2">
        <w:rPr>
          <w:rFonts w:ascii="Tahoma" w:eastAsia="Gulim" w:hAnsi="Tahoma" w:cs="Tahoma"/>
        </w:rPr>
        <w:t xml:space="preserve"> </w:t>
      </w:r>
      <w:r w:rsidR="00AB5898" w:rsidRPr="00840FA2">
        <w:rPr>
          <w:rFonts w:ascii="Tahoma" w:eastAsia="Gulim" w:hAnsi="Tahoma" w:cs="Tahoma"/>
        </w:rPr>
        <w:t>nel 2019</w:t>
      </w:r>
      <w:r w:rsidR="00726089" w:rsidRPr="00840FA2">
        <w:rPr>
          <w:rFonts w:ascii="Tahoma" w:eastAsia="Gulim" w:hAnsi="Tahoma" w:cs="Tahoma"/>
        </w:rPr>
        <w:t>)</w:t>
      </w:r>
      <w:r w:rsidR="007A3E01" w:rsidRPr="00840FA2">
        <w:rPr>
          <w:rFonts w:ascii="Tahoma" w:eastAsia="Gulim" w:hAnsi="Tahoma" w:cs="Tahoma"/>
        </w:rPr>
        <w:t xml:space="preserve"> le province con gli incrementi </w:t>
      </w:r>
      <w:r w:rsidR="00930EFF" w:rsidRPr="00840FA2">
        <w:rPr>
          <w:rFonts w:ascii="Tahoma" w:eastAsia="Gulim" w:hAnsi="Tahoma" w:cs="Tahoma"/>
        </w:rPr>
        <w:t xml:space="preserve">percentuali </w:t>
      </w:r>
      <w:r w:rsidR="007A3E01" w:rsidRPr="00840FA2">
        <w:rPr>
          <w:rFonts w:ascii="Tahoma" w:eastAsia="Gulim" w:hAnsi="Tahoma" w:cs="Tahoma"/>
        </w:rPr>
        <w:t>maggiori</w:t>
      </w:r>
      <w:r w:rsidR="00726089" w:rsidRPr="00840FA2">
        <w:rPr>
          <w:rFonts w:ascii="Tahoma" w:eastAsia="Gulim" w:hAnsi="Tahoma" w:cs="Tahoma"/>
        </w:rPr>
        <w:t>.</w:t>
      </w:r>
      <w:r w:rsidR="004A33D0" w:rsidRPr="00840FA2">
        <w:rPr>
          <w:rFonts w:ascii="Tahoma" w:eastAsia="Gulim" w:hAnsi="Tahoma" w:cs="Tahoma"/>
        </w:rPr>
        <w:t xml:space="preserve"> </w:t>
      </w:r>
      <w:r w:rsidR="00E07299" w:rsidRPr="00840FA2">
        <w:rPr>
          <w:rFonts w:ascii="Tahoma" w:eastAsia="Gulim" w:hAnsi="Tahoma" w:cs="Tahoma"/>
        </w:rPr>
        <w:t xml:space="preserve">Sassari, </w:t>
      </w:r>
      <w:r w:rsidR="004A33D0" w:rsidRPr="00840FA2">
        <w:rPr>
          <w:rFonts w:ascii="Tahoma" w:eastAsia="Gulim" w:hAnsi="Tahoma" w:cs="Tahoma"/>
        </w:rPr>
        <w:t xml:space="preserve">Oristano e Sud Sardegna portano la </w:t>
      </w:r>
      <w:r w:rsidR="00E07299" w:rsidRPr="00840FA2">
        <w:rPr>
          <w:rFonts w:ascii="Tahoma" w:eastAsia="Gulim" w:hAnsi="Tahoma" w:cs="Tahoma"/>
        </w:rPr>
        <w:t>Sardegna</w:t>
      </w:r>
      <w:r w:rsidR="002339DD" w:rsidRPr="00840FA2">
        <w:rPr>
          <w:rFonts w:ascii="Tahoma" w:eastAsia="Gulim" w:hAnsi="Tahoma" w:cs="Tahoma"/>
        </w:rPr>
        <w:t xml:space="preserve"> ad essere </w:t>
      </w:r>
      <w:r w:rsidR="00E07299" w:rsidRPr="00840FA2">
        <w:rPr>
          <w:rFonts w:ascii="Tahoma" w:eastAsia="Gulim" w:hAnsi="Tahoma" w:cs="Tahoma"/>
        </w:rPr>
        <w:t>la Regione</w:t>
      </w:r>
      <w:r w:rsidR="004A33D0" w:rsidRPr="00840FA2">
        <w:rPr>
          <w:rFonts w:ascii="Tahoma" w:eastAsia="Gulim" w:hAnsi="Tahoma" w:cs="Tahoma"/>
        </w:rPr>
        <w:t xml:space="preserve"> con </w:t>
      </w:r>
      <w:r w:rsidR="00E07299" w:rsidRPr="00840FA2">
        <w:rPr>
          <w:rFonts w:ascii="Tahoma" w:eastAsia="Gulim" w:hAnsi="Tahoma" w:cs="Tahoma"/>
        </w:rPr>
        <w:t xml:space="preserve">il più alto </w:t>
      </w:r>
      <w:r w:rsidR="004A33D0" w:rsidRPr="00840FA2">
        <w:rPr>
          <w:rFonts w:ascii="Tahoma" w:eastAsia="Gulim" w:hAnsi="Tahoma" w:cs="Tahoma"/>
        </w:rPr>
        <w:t xml:space="preserve">aumento di morti rispetto </w:t>
      </w:r>
      <w:r w:rsidR="00E07299" w:rsidRPr="00840FA2">
        <w:rPr>
          <w:rFonts w:ascii="Tahoma" w:eastAsia="Gulim" w:hAnsi="Tahoma" w:cs="Tahoma"/>
        </w:rPr>
        <w:t>al 2019 (+20)</w:t>
      </w:r>
      <w:r w:rsidR="002339DD" w:rsidRPr="00840FA2">
        <w:rPr>
          <w:rFonts w:ascii="Tahoma" w:eastAsia="Gulim" w:hAnsi="Tahoma" w:cs="Tahoma"/>
        </w:rPr>
        <w:t>.</w:t>
      </w:r>
    </w:p>
    <w:p w:rsidR="00726089" w:rsidRPr="00840FA2" w:rsidRDefault="00726089" w:rsidP="00726089">
      <w:pPr>
        <w:jc w:val="both"/>
        <w:rPr>
          <w:rFonts w:ascii="Tahoma" w:eastAsia="Gulim" w:hAnsi="Tahoma" w:cs="Tahoma"/>
        </w:rPr>
      </w:pPr>
    </w:p>
    <w:p w:rsidR="00E45673" w:rsidRPr="00840FA2" w:rsidRDefault="0033364E" w:rsidP="00726089">
      <w:pPr>
        <w:jc w:val="both"/>
        <w:rPr>
          <w:rFonts w:ascii="Tahoma" w:eastAsia="Gulim" w:hAnsi="Tahoma" w:cs="Tahoma"/>
        </w:rPr>
      </w:pPr>
      <w:r w:rsidRPr="00840FA2">
        <w:rPr>
          <w:rFonts w:ascii="Tahoma" w:eastAsia="Gulim" w:hAnsi="Tahoma" w:cs="Tahoma"/>
          <w:bCs/>
        </w:rPr>
        <w:t>Viceversa</w:t>
      </w:r>
      <w:r w:rsidR="002C1290" w:rsidRPr="00840FA2">
        <w:rPr>
          <w:rFonts w:ascii="Tahoma" w:eastAsia="Gulim" w:hAnsi="Tahoma" w:cs="Tahoma"/>
          <w:bCs/>
        </w:rPr>
        <w:t>,</w:t>
      </w:r>
      <w:r w:rsidRPr="00840FA2">
        <w:rPr>
          <w:rFonts w:ascii="Tahoma" w:eastAsia="Gulim" w:hAnsi="Tahoma" w:cs="Tahoma"/>
          <w:bCs/>
        </w:rPr>
        <w:t xml:space="preserve"> </w:t>
      </w:r>
      <w:r w:rsidR="0060346A" w:rsidRPr="00840FA2">
        <w:rPr>
          <w:rFonts w:ascii="Tahoma" w:eastAsia="Gulim" w:hAnsi="Tahoma" w:cs="Tahoma"/>
          <w:b/>
        </w:rPr>
        <w:t>Aost</w:t>
      </w:r>
      <w:r w:rsidR="00F1175C" w:rsidRPr="00840FA2">
        <w:rPr>
          <w:rFonts w:ascii="Tahoma" w:eastAsia="Gulim" w:hAnsi="Tahoma" w:cs="Tahoma"/>
          <w:b/>
        </w:rPr>
        <w:t>a</w:t>
      </w:r>
      <w:r w:rsidRPr="00840FA2">
        <w:rPr>
          <w:rFonts w:ascii="Tahoma" w:eastAsia="Gulim" w:hAnsi="Tahoma" w:cs="Tahoma"/>
          <w:bCs/>
        </w:rPr>
        <w:t xml:space="preserve"> fa registrare </w:t>
      </w:r>
      <w:r w:rsidRPr="00840FA2">
        <w:rPr>
          <w:rFonts w:ascii="Tahoma" w:eastAsia="Gulim" w:hAnsi="Tahoma" w:cs="Tahoma"/>
          <w:b/>
        </w:rPr>
        <w:t>-</w:t>
      </w:r>
      <w:r w:rsidR="0060346A" w:rsidRPr="00840FA2">
        <w:rPr>
          <w:rFonts w:ascii="Tahoma" w:eastAsia="Gulim" w:hAnsi="Tahoma" w:cs="Tahoma"/>
          <w:b/>
        </w:rPr>
        <w:t>75</w:t>
      </w:r>
      <w:r w:rsidRPr="00840FA2">
        <w:rPr>
          <w:rFonts w:ascii="Tahoma" w:eastAsia="Gulim" w:hAnsi="Tahoma" w:cs="Tahoma"/>
          <w:b/>
        </w:rPr>
        <w:t>%</w:t>
      </w:r>
      <w:r w:rsidRPr="00840FA2">
        <w:rPr>
          <w:rFonts w:ascii="Tahoma" w:eastAsia="Gulim" w:hAnsi="Tahoma" w:cs="Tahoma"/>
          <w:bCs/>
        </w:rPr>
        <w:t xml:space="preserve"> </w:t>
      </w:r>
      <w:bookmarkStart w:id="5" w:name="_Hlk84405654"/>
      <w:r w:rsidRPr="00840FA2">
        <w:rPr>
          <w:rFonts w:ascii="Tahoma" w:eastAsia="Gulim" w:hAnsi="Tahoma" w:cs="Tahoma"/>
          <w:bCs/>
        </w:rPr>
        <w:t>(</w:t>
      </w:r>
      <w:r w:rsidR="002D73FD" w:rsidRPr="00840FA2">
        <w:rPr>
          <w:rFonts w:ascii="Tahoma" w:eastAsia="Gulim" w:hAnsi="Tahoma" w:cs="Tahoma"/>
        </w:rPr>
        <w:t>1</w:t>
      </w:r>
      <w:r w:rsidRPr="00840FA2">
        <w:rPr>
          <w:rFonts w:ascii="Tahoma" w:eastAsia="Gulim" w:hAnsi="Tahoma" w:cs="Tahoma"/>
        </w:rPr>
        <w:t xml:space="preserve"> mort</w:t>
      </w:r>
      <w:r w:rsidR="002D73FD" w:rsidRPr="00840FA2">
        <w:rPr>
          <w:rFonts w:ascii="Tahoma" w:eastAsia="Gulim" w:hAnsi="Tahoma" w:cs="Tahoma"/>
        </w:rPr>
        <w:t>o</w:t>
      </w:r>
      <w:r w:rsidRPr="00840FA2">
        <w:rPr>
          <w:rFonts w:ascii="Tahoma" w:eastAsia="Gulim" w:hAnsi="Tahoma" w:cs="Tahoma"/>
        </w:rPr>
        <w:t xml:space="preserve"> nel 202</w:t>
      </w:r>
      <w:r w:rsidR="00F1175C" w:rsidRPr="00840FA2">
        <w:rPr>
          <w:rFonts w:ascii="Tahoma" w:eastAsia="Gulim" w:hAnsi="Tahoma" w:cs="Tahoma"/>
        </w:rPr>
        <w:t>1</w:t>
      </w:r>
      <w:r w:rsidRPr="00840FA2">
        <w:rPr>
          <w:rFonts w:ascii="Tahoma" w:eastAsia="Gulim" w:hAnsi="Tahoma" w:cs="Tahoma"/>
        </w:rPr>
        <w:t xml:space="preserve">, </w:t>
      </w:r>
      <w:r w:rsidR="002D73FD" w:rsidRPr="00840FA2">
        <w:rPr>
          <w:rFonts w:ascii="Tahoma" w:eastAsia="Gulim" w:hAnsi="Tahoma" w:cs="Tahoma"/>
        </w:rPr>
        <w:t>4</w:t>
      </w:r>
      <w:r w:rsidRPr="00840FA2">
        <w:rPr>
          <w:rFonts w:ascii="Tahoma" w:eastAsia="Gulim" w:hAnsi="Tahoma" w:cs="Tahoma"/>
        </w:rPr>
        <w:t xml:space="preserve"> nel 2019)</w:t>
      </w:r>
      <w:bookmarkEnd w:id="5"/>
      <w:r w:rsidR="003B2F9D" w:rsidRPr="00840FA2">
        <w:rPr>
          <w:rFonts w:ascii="Tahoma" w:eastAsia="Gulim" w:hAnsi="Tahoma" w:cs="Tahoma"/>
          <w:bCs/>
        </w:rPr>
        <w:t xml:space="preserve"> </w:t>
      </w:r>
      <w:r w:rsidR="0060346A" w:rsidRPr="00840FA2">
        <w:rPr>
          <w:rFonts w:ascii="Tahoma" w:eastAsia="Gulim" w:hAnsi="Tahoma" w:cs="Tahoma"/>
          <w:b/>
        </w:rPr>
        <w:t>Trieste</w:t>
      </w:r>
      <w:r w:rsidR="008B4FEF" w:rsidRPr="00840FA2">
        <w:rPr>
          <w:rFonts w:ascii="Tahoma" w:eastAsia="Gulim" w:hAnsi="Tahoma" w:cs="Tahoma"/>
          <w:b/>
        </w:rPr>
        <w:t xml:space="preserve"> -</w:t>
      </w:r>
      <w:r w:rsidR="0060346A" w:rsidRPr="00840FA2">
        <w:rPr>
          <w:rFonts w:ascii="Tahoma" w:eastAsia="Gulim" w:hAnsi="Tahoma" w:cs="Tahoma"/>
          <w:b/>
        </w:rPr>
        <w:t>73</w:t>
      </w:r>
      <w:r w:rsidR="008B4FEF" w:rsidRPr="00840FA2">
        <w:rPr>
          <w:rFonts w:ascii="Tahoma" w:eastAsia="Gulim" w:hAnsi="Tahoma" w:cs="Tahoma"/>
          <w:b/>
        </w:rPr>
        <w:t>%</w:t>
      </w:r>
      <w:r w:rsidRPr="00840FA2">
        <w:rPr>
          <w:rFonts w:ascii="Tahoma" w:eastAsia="Gulim" w:hAnsi="Tahoma" w:cs="Tahoma"/>
          <w:b/>
        </w:rPr>
        <w:t xml:space="preserve"> </w:t>
      </w:r>
      <w:r w:rsidRPr="00840FA2">
        <w:rPr>
          <w:rFonts w:ascii="Tahoma" w:eastAsia="Gulim" w:hAnsi="Tahoma" w:cs="Tahoma"/>
          <w:bCs/>
        </w:rPr>
        <w:t>(</w:t>
      </w:r>
      <w:r w:rsidR="00D70109" w:rsidRPr="00840FA2">
        <w:rPr>
          <w:rFonts w:ascii="Tahoma" w:eastAsia="Gulim" w:hAnsi="Tahoma" w:cs="Tahoma"/>
        </w:rPr>
        <w:t>4</w:t>
      </w:r>
      <w:r w:rsidRPr="00840FA2">
        <w:rPr>
          <w:rFonts w:ascii="Tahoma" w:eastAsia="Gulim" w:hAnsi="Tahoma" w:cs="Tahoma"/>
        </w:rPr>
        <w:t xml:space="preserve"> morti nel 202</w:t>
      </w:r>
      <w:r w:rsidR="00D70109" w:rsidRPr="00840FA2">
        <w:rPr>
          <w:rFonts w:ascii="Tahoma" w:eastAsia="Gulim" w:hAnsi="Tahoma" w:cs="Tahoma"/>
        </w:rPr>
        <w:t>1</w:t>
      </w:r>
      <w:r w:rsidRPr="00840FA2">
        <w:rPr>
          <w:rFonts w:ascii="Tahoma" w:eastAsia="Gulim" w:hAnsi="Tahoma" w:cs="Tahoma"/>
        </w:rPr>
        <w:t xml:space="preserve">, </w:t>
      </w:r>
      <w:r w:rsidR="0060346A" w:rsidRPr="00840FA2">
        <w:rPr>
          <w:rFonts w:ascii="Tahoma" w:eastAsia="Gulim" w:hAnsi="Tahoma" w:cs="Tahoma"/>
        </w:rPr>
        <w:t>15</w:t>
      </w:r>
      <w:r w:rsidRPr="00840FA2">
        <w:rPr>
          <w:rFonts w:ascii="Tahoma" w:eastAsia="Gulim" w:hAnsi="Tahoma" w:cs="Tahoma"/>
        </w:rPr>
        <w:t xml:space="preserve"> nel 2019)</w:t>
      </w:r>
      <w:r w:rsidRPr="00840FA2">
        <w:rPr>
          <w:rFonts w:ascii="Tahoma" w:eastAsia="Gulim" w:hAnsi="Tahoma" w:cs="Tahoma"/>
          <w:b/>
        </w:rPr>
        <w:t xml:space="preserve"> e </w:t>
      </w:r>
      <w:r w:rsidR="0060346A" w:rsidRPr="00840FA2">
        <w:rPr>
          <w:rFonts w:ascii="Tahoma" w:eastAsia="Gulim" w:hAnsi="Tahoma" w:cs="Tahoma"/>
          <w:b/>
        </w:rPr>
        <w:t>Massa Carrara</w:t>
      </w:r>
      <w:r w:rsidR="008B4FEF" w:rsidRPr="00840FA2">
        <w:rPr>
          <w:rFonts w:ascii="Tahoma" w:eastAsia="Gulim" w:hAnsi="Tahoma" w:cs="Tahoma"/>
          <w:b/>
        </w:rPr>
        <w:t xml:space="preserve"> -</w:t>
      </w:r>
      <w:r w:rsidR="0060346A" w:rsidRPr="00840FA2">
        <w:rPr>
          <w:rFonts w:ascii="Tahoma" w:eastAsia="Gulim" w:hAnsi="Tahoma" w:cs="Tahoma"/>
          <w:b/>
        </w:rPr>
        <w:t>7</w:t>
      </w:r>
      <w:r w:rsidR="00D70109" w:rsidRPr="00840FA2">
        <w:rPr>
          <w:rFonts w:ascii="Tahoma" w:eastAsia="Gulim" w:hAnsi="Tahoma" w:cs="Tahoma"/>
          <w:b/>
        </w:rPr>
        <w:t>1</w:t>
      </w:r>
      <w:r w:rsidR="008B4FEF" w:rsidRPr="00840FA2">
        <w:rPr>
          <w:rFonts w:ascii="Tahoma" w:eastAsia="Gulim" w:hAnsi="Tahoma" w:cs="Tahoma"/>
          <w:b/>
        </w:rPr>
        <w:t>%</w:t>
      </w:r>
      <w:r w:rsidR="00726089" w:rsidRPr="00840FA2">
        <w:rPr>
          <w:rFonts w:ascii="Tahoma" w:eastAsia="Gulim" w:hAnsi="Tahoma" w:cs="Tahoma"/>
          <w:b/>
          <w:bCs/>
        </w:rPr>
        <w:t xml:space="preserve"> </w:t>
      </w:r>
      <w:r w:rsidR="00726089" w:rsidRPr="00840FA2">
        <w:rPr>
          <w:rFonts w:ascii="Tahoma" w:eastAsia="Gulim" w:hAnsi="Tahoma" w:cs="Tahoma"/>
        </w:rPr>
        <w:t>(</w:t>
      </w:r>
      <w:r w:rsidR="0060346A" w:rsidRPr="00840FA2">
        <w:rPr>
          <w:rFonts w:ascii="Tahoma" w:eastAsia="Gulim" w:hAnsi="Tahoma" w:cs="Tahoma"/>
        </w:rPr>
        <w:t>4</w:t>
      </w:r>
      <w:r w:rsidRPr="00840FA2">
        <w:rPr>
          <w:rFonts w:ascii="Tahoma" w:eastAsia="Gulim" w:hAnsi="Tahoma" w:cs="Tahoma"/>
        </w:rPr>
        <w:t xml:space="preserve"> morti nel 202</w:t>
      </w:r>
      <w:r w:rsidR="00D70109" w:rsidRPr="00840FA2">
        <w:rPr>
          <w:rFonts w:ascii="Tahoma" w:eastAsia="Gulim" w:hAnsi="Tahoma" w:cs="Tahoma"/>
        </w:rPr>
        <w:t>1</w:t>
      </w:r>
      <w:r w:rsidRPr="00840FA2">
        <w:rPr>
          <w:rFonts w:ascii="Tahoma" w:eastAsia="Gulim" w:hAnsi="Tahoma" w:cs="Tahoma"/>
        </w:rPr>
        <w:t xml:space="preserve">, </w:t>
      </w:r>
      <w:r w:rsidR="0060346A" w:rsidRPr="00840FA2">
        <w:rPr>
          <w:rFonts w:ascii="Tahoma" w:eastAsia="Gulim" w:hAnsi="Tahoma" w:cs="Tahoma"/>
        </w:rPr>
        <w:t>14</w:t>
      </w:r>
      <w:r w:rsidRPr="00840FA2">
        <w:rPr>
          <w:rFonts w:ascii="Tahoma" w:eastAsia="Gulim" w:hAnsi="Tahoma" w:cs="Tahoma"/>
        </w:rPr>
        <w:t xml:space="preserve"> nel 2019</w:t>
      </w:r>
      <w:r w:rsidR="00726089" w:rsidRPr="00840FA2">
        <w:rPr>
          <w:rFonts w:ascii="Tahoma" w:eastAsia="Gulim" w:hAnsi="Tahoma" w:cs="Tahoma"/>
        </w:rPr>
        <w:t xml:space="preserve">). </w:t>
      </w:r>
    </w:p>
    <w:p w:rsidR="00E45673" w:rsidRPr="00840FA2" w:rsidRDefault="00E45673" w:rsidP="00726089">
      <w:pPr>
        <w:jc w:val="both"/>
        <w:rPr>
          <w:rFonts w:ascii="Tahoma" w:eastAsia="Gulim" w:hAnsi="Tahoma" w:cs="Tahoma"/>
        </w:rPr>
      </w:pPr>
    </w:p>
    <w:p w:rsidR="008B4FEF" w:rsidRPr="00840FA2" w:rsidRDefault="00161FAB" w:rsidP="00726089">
      <w:pPr>
        <w:jc w:val="both"/>
        <w:rPr>
          <w:rFonts w:ascii="Tahoma" w:eastAsia="Gulim" w:hAnsi="Tahoma" w:cs="Tahoma"/>
        </w:rPr>
      </w:pPr>
      <w:r w:rsidRPr="00840FA2">
        <w:rPr>
          <w:rFonts w:ascii="Tahoma" w:eastAsia="Gulim" w:hAnsi="Tahoma" w:cs="Tahoma"/>
          <w:b/>
        </w:rPr>
        <w:t>Quattro</w:t>
      </w:r>
      <w:r w:rsidR="00BF0332" w:rsidRPr="00840FA2">
        <w:rPr>
          <w:rFonts w:ascii="Tahoma" w:eastAsia="Gulim" w:hAnsi="Tahoma" w:cs="Tahoma"/>
          <w:b/>
        </w:rPr>
        <w:t xml:space="preserve"> le r</w:t>
      </w:r>
      <w:r w:rsidR="00726089" w:rsidRPr="00840FA2">
        <w:rPr>
          <w:rFonts w:ascii="Tahoma" w:eastAsia="Gulim" w:hAnsi="Tahoma" w:cs="Tahoma"/>
          <w:b/>
        </w:rPr>
        <w:t xml:space="preserve">egioni </w:t>
      </w:r>
      <w:r w:rsidR="001B2E46" w:rsidRPr="00840FA2">
        <w:rPr>
          <w:rFonts w:ascii="Tahoma" w:eastAsia="Gulim" w:hAnsi="Tahoma" w:cs="Tahoma"/>
          <w:b/>
        </w:rPr>
        <w:t>nelle quali si è verificato</w:t>
      </w:r>
      <w:r w:rsidR="002C16C0" w:rsidRPr="00840FA2">
        <w:rPr>
          <w:rFonts w:ascii="Tahoma" w:eastAsia="Gulim" w:hAnsi="Tahoma" w:cs="Tahoma"/>
          <w:b/>
        </w:rPr>
        <w:t xml:space="preserve"> </w:t>
      </w:r>
      <w:r w:rsidR="00726089" w:rsidRPr="00840FA2">
        <w:rPr>
          <w:rFonts w:ascii="Tahoma" w:eastAsia="Gulim" w:hAnsi="Tahoma" w:cs="Tahoma"/>
          <w:b/>
        </w:rPr>
        <w:t>un decremento apprezzabile</w:t>
      </w:r>
      <w:r w:rsidR="0024622E" w:rsidRPr="00840FA2">
        <w:rPr>
          <w:rFonts w:ascii="Tahoma" w:eastAsia="Gulim" w:hAnsi="Tahoma" w:cs="Tahoma"/>
          <w:b/>
        </w:rPr>
        <w:t xml:space="preserve"> di decessi</w:t>
      </w:r>
      <w:r w:rsidR="00726089" w:rsidRPr="00840FA2">
        <w:rPr>
          <w:rFonts w:ascii="Tahoma" w:eastAsia="Gulim" w:hAnsi="Tahoma" w:cs="Tahoma"/>
        </w:rPr>
        <w:t xml:space="preserve">: </w:t>
      </w:r>
      <w:r w:rsidR="00637B47" w:rsidRPr="00840FA2">
        <w:rPr>
          <w:rFonts w:ascii="Tahoma" w:eastAsia="Gulim" w:hAnsi="Tahoma" w:cs="Tahoma"/>
        </w:rPr>
        <w:t>Valle d’Aosta</w:t>
      </w:r>
      <w:r w:rsidR="00B63EDB" w:rsidRPr="00840FA2">
        <w:rPr>
          <w:rFonts w:ascii="Tahoma" w:eastAsia="Gulim" w:hAnsi="Tahoma" w:cs="Tahoma"/>
        </w:rPr>
        <w:t xml:space="preserve"> (</w:t>
      </w:r>
      <w:r w:rsidRPr="00840FA2">
        <w:rPr>
          <w:rFonts w:ascii="Tahoma" w:eastAsia="Gulim" w:hAnsi="Tahoma" w:cs="Tahoma"/>
        </w:rPr>
        <w:t>-75%</w:t>
      </w:r>
      <w:r w:rsidR="00B63EDB" w:rsidRPr="00840FA2">
        <w:rPr>
          <w:rFonts w:ascii="Tahoma" w:eastAsia="Gulim" w:hAnsi="Tahoma" w:cs="Tahoma"/>
        </w:rPr>
        <w:t xml:space="preserve">), </w:t>
      </w:r>
      <w:r w:rsidRPr="00840FA2">
        <w:rPr>
          <w:rFonts w:ascii="Tahoma" w:eastAsia="Gulim" w:hAnsi="Tahoma" w:cs="Tahoma"/>
        </w:rPr>
        <w:t>Molise</w:t>
      </w:r>
      <w:r w:rsidR="00726089" w:rsidRPr="00840FA2">
        <w:rPr>
          <w:rFonts w:ascii="Tahoma" w:eastAsia="Gulim" w:hAnsi="Tahoma" w:cs="Tahoma"/>
        </w:rPr>
        <w:t xml:space="preserve"> (-</w:t>
      </w:r>
      <w:r w:rsidR="00637B47" w:rsidRPr="00840FA2">
        <w:rPr>
          <w:rFonts w:ascii="Tahoma" w:eastAsia="Gulim" w:hAnsi="Tahoma" w:cs="Tahoma"/>
        </w:rPr>
        <w:t>4</w:t>
      </w:r>
      <w:r w:rsidRPr="00840FA2">
        <w:rPr>
          <w:rFonts w:ascii="Tahoma" w:eastAsia="Gulim" w:hAnsi="Tahoma" w:cs="Tahoma"/>
        </w:rPr>
        <w:t>6</w:t>
      </w:r>
      <w:r w:rsidR="00637B47" w:rsidRPr="00840FA2">
        <w:rPr>
          <w:rFonts w:ascii="Tahoma" w:eastAsia="Gulim" w:hAnsi="Tahoma" w:cs="Tahoma"/>
        </w:rPr>
        <w:t>%</w:t>
      </w:r>
      <w:r w:rsidR="00726089" w:rsidRPr="00840FA2">
        <w:rPr>
          <w:rFonts w:ascii="Tahoma" w:eastAsia="Gulim" w:hAnsi="Tahoma" w:cs="Tahoma"/>
        </w:rPr>
        <w:t>)</w:t>
      </w:r>
      <w:r w:rsidR="00B63EDB" w:rsidRPr="00840FA2">
        <w:rPr>
          <w:rFonts w:ascii="Tahoma" w:eastAsia="Gulim" w:hAnsi="Tahoma" w:cs="Tahoma"/>
        </w:rPr>
        <w:t>,</w:t>
      </w:r>
      <w:r w:rsidR="00726089" w:rsidRPr="00840FA2">
        <w:rPr>
          <w:rFonts w:ascii="Tahoma" w:eastAsia="Gulim" w:hAnsi="Tahoma" w:cs="Tahoma"/>
        </w:rPr>
        <w:t xml:space="preserve"> </w:t>
      </w:r>
      <w:r w:rsidRPr="00840FA2">
        <w:rPr>
          <w:rFonts w:ascii="Tahoma" w:eastAsia="Gulim" w:hAnsi="Tahoma" w:cs="Tahoma"/>
        </w:rPr>
        <w:t>Trentino</w:t>
      </w:r>
      <w:r w:rsidR="00726089" w:rsidRPr="00840FA2">
        <w:rPr>
          <w:rFonts w:ascii="Tahoma" w:eastAsia="Gulim" w:hAnsi="Tahoma" w:cs="Tahoma"/>
        </w:rPr>
        <w:t xml:space="preserve"> </w:t>
      </w:r>
      <w:r w:rsidR="008B08B0" w:rsidRPr="00840FA2">
        <w:rPr>
          <w:rFonts w:ascii="Tahoma" w:eastAsia="Gulim" w:hAnsi="Tahoma" w:cs="Tahoma"/>
        </w:rPr>
        <w:t xml:space="preserve">Alto Adige </w:t>
      </w:r>
      <w:r w:rsidR="00726089" w:rsidRPr="00840FA2">
        <w:rPr>
          <w:rFonts w:ascii="Tahoma" w:eastAsia="Gulim" w:hAnsi="Tahoma" w:cs="Tahoma"/>
        </w:rPr>
        <w:t>(-</w:t>
      </w:r>
      <w:r w:rsidR="00637B47" w:rsidRPr="00840FA2">
        <w:rPr>
          <w:rFonts w:ascii="Tahoma" w:eastAsia="Gulim" w:hAnsi="Tahoma" w:cs="Tahoma"/>
        </w:rPr>
        <w:t>3</w:t>
      </w:r>
      <w:r w:rsidRPr="00840FA2">
        <w:rPr>
          <w:rFonts w:ascii="Tahoma" w:eastAsia="Gulim" w:hAnsi="Tahoma" w:cs="Tahoma"/>
        </w:rPr>
        <w:t>1</w:t>
      </w:r>
      <w:r w:rsidR="00637B47" w:rsidRPr="00840FA2">
        <w:rPr>
          <w:rFonts w:ascii="Tahoma" w:eastAsia="Gulim" w:hAnsi="Tahoma" w:cs="Tahoma"/>
        </w:rPr>
        <w:t>%</w:t>
      </w:r>
      <w:r w:rsidR="00726089" w:rsidRPr="00840FA2">
        <w:rPr>
          <w:rFonts w:ascii="Tahoma" w:eastAsia="Gulim" w:hAnsi="Tahoma" w:cs="Tahoma"/>
        </w:rPr>
        <w:t xml:space="preserve">), </w:t>
      </w:r>
      <w:r w:rsidR="00637B47" w:rsidRPr="00840FA2">
        <w:rPr>
          <w:rFonts w:ascii="Tahoma" w:eastAsia="Gulim" w:hAnsi="Tahoma" w:cs="Tahoma"/>
        </w:rPr>
        <w:t>Emilia-Romagna</w:t>
      </w:r>
      <w:r w:rsidR="00F747B9" w:rsidRPr="00840FA2">
        <w:rPr>
          <w:rFonts w:ascii="Tahoma" w:eastAsia="Gulim" w:hAnsi="Tahoma" w:cs="Tahoma"/>
        </w:rPr>
        <w:t xml:space="preserve"> </w:t>
      </w:r>
      <w:r w:rsidR="00726089" w:rsidRPr="00840FA2">
        <w:rPr>
          <w:rFonts w:ascii="Tahoma" w:eastAsia="Gulim" w:hAnsi="Tahoma" w:cs="Tahoma"/>
        </w:rPr>
        <w:t>(-</w:t>
      </w:r>
      <w:r w:rsidRPr="00840FA2">
        <w:rPr>
          <w:rFonts w:ascii="Tahoma" w:eastAsia="Gulim" w:hAnsi="Tahoma" w:cs="Tahoma"/>
        </w:rPr>
        <w:t>20</w:t>
      </w:r>
      <w:r w:rsidR="00637B47" w:rsidRPr="00840FA2">
        <w:rPr>
          <w:rFonts w:ascii="Tahoma" w:eastAsia="Gulim" w:hAnsi="Tahoma" w:cs="Tahoma"/>
        </w:rPr>
        <w:t>%</w:t>
      </w:r>
      <w:r w:rsidR="00726089" w:rsidRPr="00840FA2">
        <w:rPr>
          <w:rFonts w:ascii="Tahoma" w:eastAsia="Gulim" w:hAnsi="Tahoma" w:cs="Tahoma"/>
        </w:rPr>
        <w:t xml:space="preserve">). </w:t>
      </w:r>
    </w:p>
    <w:p w:rsidR="00E45673" w:rsidRPr="00840FA2" w:rsidRDefault="00E45673" w:rsidP="00726089">
      <w:pPr>
        <w:jc w:val="both"/>
        <w:rPr>
          <w:rFonts w:ascii="Tahoma" w:eastAsia="Gulim" w:hAnsi="Tahoma" w:cs="Tahoma"/>
        </w:rPr>
      </w:pPr>
    </w:p>
    <w:p w:rsidR="00726089" w:rsidRDefault="00F2609F" w:rsidP="00726089">
      <w:pPr>
        <w:jc w:val="both"/>
        <w:rPr>
          <w:rFonts w:ascii="Tahoma" w:eastAsia="Gulim" w:hAnsi="Tahoma" w:cs="Tahoma"/>
        </w:rPr>
      </w:pPr>
      <w:r w:rsidRPr="00840FA2">
        <w:rPr>
          <w:rFonts w:ascii="Tahoma" w:eastAsia="Gulim" w:hAnsi="Tahoma" w:cs="Tahoma"/>
          <w:b/>
          <w:bCs/>
        </w:rPr>
        <w:t>Torino</w:t>
      </w:r>
      <w:r w:rsidR="0033364E" w:rsidRPr="00840FA2">
        <w:rPr>
          <w:rFonts w:ascii="Tahoma" w:eastAsia="Gulim" w:hAnsi="Tahoma" w:cs="Tahoma"/>
          <w:b/>
          <w:bCs/>
        </w:rPr>
        <w:t xml:space="preserve"> (-3</w:t>
      </w:r>
      <w:r w:rsidRPr="00840FA2">
        <w:rPr>
          <w:rFonts w:ascii="Tahoma" w:eastAsia="Gulim" w:hAnsi="Tahoma" w:cs="Tahoma"/>
          <w:b/>
          <w:bCs/>
        </w:rPr>
        <w:t>0</w:t>
      </w:r>
      <w:r w:rsidR="0033364E" w:rsidRPr="00840FA2">
        <w:rPr>
          <w:rFonts w:ascii="Tahoma" w:eastAsia="Gulim" w:hAnsi="Tahoma" w:cs="Tahoma"/>
          <w:b/>
          <w:bCs/>
        </w:rPr>
        <w:t xml:space="preserve"> morti), Padova (-2</w:t>
      </w:r>
      <w:r w:rsidRPr="00840FA2">
        <w:rPr>
          <w:rFonts w:ascii="Tahoma" w:eastAsia="Gulim" w:hAnsi="Tahoma" w:cs="Tahoma"/>
          <w:b/>
          <w:bCs/>
        </w:rPr>
        <w:t>3</w:t>
      </w:r>
      <w:r w:rsidR="0033364E" w:rsidRPr="00840FA2">
        <w:rPr>
          <w:rFonts w:ascii="Tahoma" w:eastAsia="Gulim" w:hAnsi="Tahoma" w:cs="Tahoma"/>
          <w:b/>
          <w:bCs/>
        </w:rPr>
        <w:t xml:space="preserve">), </w:t>
      </w:r>
      <w:r w:rsidRPr="00840FA2">
        <w:rPr>
          <w:rFonts w:ascii="Tahoma" w:eastAsia="Gulim" w:hAnsi="Tahoma" w:cs="Tahoma"/>
          <w:b/>
          <w:bCs/>
        </w:rPr>
        <w:t>Veron</w:t>
      </w:r>
      <w:r w:rsidR="0033364E" w:rsidRPr="00840FA2">
        <w:rPr>
          <w:rFonts w:ascii="Tahoma" w:eastAsia="Gulim" w:hAnsi="Tahoma" w:cs="Tahoma"/>
          <w:b/>
          <w:bCs/>
        </w:rPr>
        <w:t>a (-2</w:t>
      </w:r>
      <w:r w:rsidRPr="00840FA2">
        <w:rPr>
          <w:rFonts w:ascii="Tahoma" w:eastAsia="Gulim" w:hAnsi="Tahoma" w:cs="Tahoma"/>
          <w:b/>
          <w:bCs/>
        </w:rPr>
        <w:t>3</w:t>
      </w:r>
      <w:r w:rsidR="0033364E" w:rsidRPr="00840FA2">
        <w:rPr>
          <w:rFonts w:ascii="Tahoma" w:eastAsia="Gulim" w:hAnsi="Tahoma" w:cs="Tahoma"/>
          <w:b/>
          <w:bCs/>
        </w:rPr>
        <w:t xml:space="preserve">), </w:t>
      </w:r>
      <w:r w:rsidRPr="00840FA2">
        <w:rPr>
          <w:rFonts w:ascii="Tahoma" w:eastAsia="Gulim" w:hAnsi="Tahoma" w:cs="Tahoma"/>
          <w:b/>
          <w:bCs/>
        </w:rPr>
        <w:t>Bolzan</w:t>
      </w:r>
      <w:r w:rsidR="0033364E" w:rsidRPr="00840FA2">
        <w:rPr>
          <w:rFonts w:ascii="Tahoma" w:eastAsia="Gulim" w:hAnsi="Tahoma" w:cs="Tahoma"/>
          <w:b/>
          <w:bCs/>
        </w:rPr>
        <w:t>o (-2</w:t>
      </w:r>
      <w:r w:rsidRPr="00840FA2">
        <w:rPr>
          <w:rFonts w:ascii="Tahoma" w:eastAsia="Gulim" w:hAnsi="Tahoma" w:cs="Tahoma"/>
          <w:b/>
          <w:bCs/>
        </w:rPr>
        <w:t>2</w:t>
      </w:r>
      <w:r w:rsidR="0033364E" w:rsidRPr="00840FA2">
        <w:rPr>
          <w:rFonts w:ascii="Tahoma" w:eastAsia="Gulim" w:hAnsi="Tahoma" w:cs="Tahoma"/>
          <w:b/>
          <w:bCs/>
        </w:rPr>
        <w:t>)</w:t>
      </w:r>
      <w:r w:rsidR="004570F0" w:rsidRPr="00840FA2">
        <w:rPr>
          <w:rFonts w:ascii="Tahoma" w:eastAsia="Gulim" w:hAnsi="Tahoma" w:cs="Tahoma"/>
          <w:b/>
          <w:bCs/>
        </w:rPr>
        <w:t>, Forlì-Cesena e Milano (-19)</w:t>
      </w:r>
      <w:r w:rsidR="0033364E" w:rsidRPr="00840FA2">
        <w:rPr>
          <w:rFonts w:ascii="Tahoma" w:eastAsia="Gulim" w:hAnsi="Tahoma" w:cs="Tahoma"/>
        </w:rPr>
        <w:t xml:space="preserve"> le province dove </w:t>
      </w:r>
      <w:r w:rsidR="0033364E" w:rsidRPr="00840FA2">
        <w:rPr>
          <w:rFonts w:ascii="Tahoma" w:eastAsia="Gulim" w:hAnsi="Tahoma" w:cs="Tahoma"/>
          <w:b/>
        </w:rPr>
        <w:t>sono state risparmiate più vite umane</w:t>
      </w:r>
      <w:r w:rsidR="0033364E" w:rsidRPr="00840FA2">
        <w:rPr>
          <w:rFonts w:ascii="Tahoma" w:eastAsia="Gulim" w:hAnsi="Tahoma" w:cs="Tahoma"/>
        </w:rPr>
        <w:t>.</w:t>
      </w:r>
    </w:p>
    <w:p w:rsidR="00CD1F0B" w:rsidRPr="00CD1F0B" w:rsidRDefault="00CD1F0B" w:rsidP="00726089">
      <w:pPr>
        <w:jc w:val="both"/>
        <w:rPr>
          <w:rFonts w:ascii="Tahoma" w:eastAsia="Gulim" w:hAnsi="Tahoma" w:cs="Tahoma"/>
          <w:b/>
          <w:bCs/>
        </w:rPr>
      </w:pPr>
      <w:r w:rsidRPr="00CD1F0B">
        <w:rPr>
          <w:rFonts w:ascii="Tahoma" w:eastAsia="Gulim" w:hAnsi="Tahoma" w:cs="Tahoma"/>
          <w:b/>
          <w:bCs/>
        </w:rPr>
        <w:lastRenderedPageBreak/>
        <w:t>Udine (+16 morti), Latina (+15) e Perugia (+10) le province con i maggiori incrementi.</w:t>
      </w:r>
    </w:p>
    <w:p w:rsidR="00E45673" w:rsidRPr="002C1290" w:rsidRDefault="00E45673" w:rsidP="00726089">
      <w:pPr>
        <w:jc w:val="both"/>
        <w:rPr>
          <w:rFonts w:ascii="Tahoma" w:eastAsia="Gulim" w:hAnsi="Tahoma" w:cs="Tahoma"/>
        </w:rPr>
      </w:pPr>
    </w:p>
    <w:p w:rsidR="004D7409" w:rsidRPr="00CD1F0B" w:rsidRDefault="00CD1F0B" w:rsidP="00726089">
      <w:pPr>
        <w:jc w:val="both"/>
        <w:rPr>
          <w:rFonts w:ascii="Tahoma" w:eastAsia="Gulim" w:hAnsi="Tahoma" w:cs="Tahoma"/>
        </w:rPr>
      </w:pPr>
      <w:r w:rsidRPr="00CD1F0B">
        <w:rPr>
          <w:rFonts w:ascii="Tahoma" w:eastAsia="Gulim" w:hAnsi="Tahoma" w:cs="Tahoma"/>
        </w:rPr>
        <w:t>In Calabria, che registra un calo complessivo del 18%, tutte le province hanno segno negativo</w:t>
      </w:r>
      <w:r w:rsidR="004D7409" w:rsidRPr="00CD1F0B">
        <w:rPr>
          <w:rFonts w:ascii="Tahoma" w:eastAsia="Gulim" w:hAnsi="Tahoma" w:cs="Tahoma"/>
        </w:rPr>
        <w:t>:</w:t>
      </w:r>
      <w:r w:rsidR="009E0390" w:rsidRPr="00CD1F0B">
        <w:rPr>
          <w:rFonts w:ascii="Tahoma" w:eastAsia="Gulim" w:hAnsi="Tahoma" w:cs="Tahoma"/>
        </w:rPr>
        <w:t xml:space="preserve"> </w:t>
      </w:r>
      <w:r w:rsidRPr="00CD1F0B">
        <w:rPr>
          <w:rFonts w:ascii="Tahoma" w:eastAsia="Gulim" w:hAnsi="Tahoma" w:cs="Tahoma"/>
        </w:rPr>
        <w:t>Catanzaro -35%, Cosenza -3%, Crotone -38%, Reggio Calabria -12%, Vibo Valentia -33%.</w:t>
      </w:r>
    </w:p>
    <w:p w:rsidR="00726089" w:rsidRPr="002C1290" w:rsidRDefault="00726089" w:rsidP="00726089">
      <w:pPr>
        <w:jc w:val="both"/>
        <w:rPr>
          <w:rFonts w:ascii="Tahoma" w:eastAsia="Gulim" w:hAnsi="Tahoma" w:cs="Tahoma"/>
        </w:rPr>
      </w:pPr>
    </w:p>
    <w:p w:rsidR="00726089" w:rsidRPr="00F46BE9" w:rsidRDefault="00726089" w:rsidP="00726089">
      <w:pPr>
        <w:pBdr>
          <w:bottom w:val="single" w:sz="4" w:space="1" w:color="auto"/>
        </w:pBdr>
        <w:jc w:val="both"/>
        <w:rPr>
          <w:rFonts w:ascii="Tahoma" w:eastAsia="Gulim" w:hAnsi="Tahoma" w:cs="Tahoma"/>
          <w:b/>
          <w:color w:val="6B0001"/>
        </w:rPr>
      </w:pPr>
      <w:bookmarkStart w:id="6" w:name="_Hlk115868424"/>
      <w:r w:rsidRPr="00F46BE9">
        <w:rPr>
          <w:rFonts w:ascii="Tahoma" w:eastAsia="Gulim" w:hAnsi="Tahoma" w:cs="Tahoma"/>
          <w:b/>
          <w:color w:val="6B0001"/>
        </w:rPr>
        <w:t>Indice di mortalità</w:t>
      </w:r>
    </w:p>
    <w:p w:rsidR="00726089" w:rsidRPr="002C1290" w:rsidRDefault="00726089" w:rsidP="00726089">
      <w:pPr>
        <w:jc w:val="both"/>
        <w:rPr>
          <w:rFonts w:ascii="Tahoma" w:eastAsia="Gulim" w:hAnsi="Tahoma" w:cs="Tahoma"/>
        </w:rPr>
      </w:pPr>
      <w:r w:rsidRPr="002C1290">
        <w:rPr>
          <w:rFonts w:ascii="Tahoma" w:eastAsia="Gulim" w:hAnsi="Tahoma" w:cs="Tahoma"/>
        </w:rPr>
        <w:t xml:space="preserve">In </w:t>
      </w:r>
      <w:r w:rsidR="00576807" w:rsidRPr="008B4672">
        <w:rPr>
          <w:rFonts w:ascii="Tahoma" w:eastAsia="Gulim" w:hAnsi="Tahoma" w:cs="Tahoma"/>
          <w:b/>
          <w:bCs/>
        </w:rPr>
        <w:t>1</w:t>
      </w:r>
      <w:r w:rsidR="00576807">
        <w:rPr>
          <w:rFonts w:ascii="Tahoma" w:eastAsia="Gulim" w:hAnsi="Tahoma" w:cs="Tahoma"/>
          <w:b/>
          <w:bCs/>
        </w:rPr>
        <w:t>6</w:t>
      </w:r>
      <w:r w:rsidRPr="002C1290">
        <w:rPr>
          <w:rFonts w:ascii="Tahoma" w:eastAsia="Gulim" w:hAnsi="Tahoma" w:cs="Tahoma"/>
          <w:b/>
          <w:bCs/>
        </w:rPr>
        <w:t xml:space="preserve"> province</w:t>
      </w:r>
      <w:r w:rsidRPr="002C1290">
        <w:rPr>
          <w:rFonts w:ascii="Tahoma" w:eastAsia="Gulim" w:hAnsi="Tahoma" w:cs="Tahoma"/>
        </w:rPr>
        <w:t xml:space="preserve"> </w:t>
      </w:r>
      <w:r w:rsidRPr="002C1290">
        <w:rPr>
          <w:rFonts w:ascii="Tahoma" w:eastAsia="Gulim" w:hAnsi="Tahoma" w:cs="Tahoma"/>
          <w:b/>
          <w:bCs/>
        </w:rPr>
        <w:t xml:space="preserve">l’indice di mortalità - morti per 100 incidenti </w:t>
      </w:r>
      <w:r w:rsidR="002339F0" w:rsidRPr="002C1290">
        <w:rPr>
          <w:rFonts w:ascii="Tahoma" w:eastAsia="Gulim" w:hAnsi="Tahoma" w:cs="Tahoma"/>
          <w:b/>
          <w:bCs/>
        </w:rPr>
        <w:t>-</w:t>
      </w:r>
      <w:r w:rsidRPr="002C1290">
        <w:rPr>
          <w:rFonts w:ascii="Tahoma" w:eastAsia="Gulim" w:hAnsi="Tahoma" w:cs="Tahoma"/>
          <w:b/>
          <w:bCs/>
        </w:rPr>
        <w:t xml:space="preserve"> </w:t>
      </w:r>
      <w:r w:rsidR="005B5B3C" w:rsidRPr="002C1290">
        <w:rPr>
          <w:rFonts w:ascii="Tahoma" w:eastAsia="Gulim" w:hAnsi="Tahoma" w:cs="Tahoma"/>
          <w:b/>
          <w:bCs/>
        </w:rPr>
        <w:t xml:space="preserve">è </w:t>
      </w:r>
      <w:r w:rsidRPr="002C1290">
        <w:rPr>
          <w:rFonts w:ascii="Tahoma" w:eastAsia="Gulim" w:hAnsi="Tahoma" w:cs="Tahoma"/>
          <w:b/>
          <w:bCs/>
        </w:rPr>
        <w:t>risulta</w:t>
      </w:r>
      <w:r w:rsidR="005B5B3C" w:rsidRPr="002C1290">
        <w:rPr>
          <w:rFonts w:ascii="Tahoma" w:eastAsia="Gulim" w:hAnsi="Tahoma" w:cs="Tahoma"/>
          <w:b/>
          <w:bCs/>
        </w:rPr>
        <w:t>to</w:t>
      </w:r>
      <w:r w:rsidRPr="002C1290">
        <w:rPr>
          <w:rFonts w:ascii="Tahoma" w:eastAsia="Gulim" w:hAnsi="Tahoma" w:cs="Tahoma"/>
          <w:b/>
          <w:bCs/>
        </w:rPr>
        <w:t xml:space="preserve"> più che doppio rispetto al valore medio nazionale</w:t>
      </w:r>
      <w:r w:rsidRPr="002C1290">
        <w:rPr>
          <w:rFonts w:ascii="Tahoma" w:eastAsia="Gulim" w:hAnsi="Tahoma" w:cs="Tahoma"/>
        </w:rPr>
        <w:t xml:space="preserve"> (pari a </w:t>
      </w:r>
      <w:r w:rsidR="00576807">
        <w:rPr>
          <w:rFonts w:ascii="Tahoma" w:eastAsia="Gulim" w:hAnsi="Tahoma" w:cs="Tahoma"/>
        </w:rPr>
        <w:t>1,89</w:t>
      </w:r>
      <w:r w:rsidRPr="002C1290">
        <w:rPr>
          <w:rFonts w:ascii="Tahoma" w:eastAsia="Gulim" w:hAnsi="Tahoma" w:cs="Tahoma"/>
        </w:rPr>
        <w:t xml:space="preserve">): </w:t>
      </w:r>
      <w:bookmarkStart w:id="7" w:name="_Hlk84353331"/>
      <w:r w:rsidR="00576807">
        <w:rPr>
          <w:rFonts w:ascii="Tahoma" w:eastAsia="Gulim" w:hAnsi="Tahoma" w:cs="Tahoma"/>
        </w:rPr>
        <w:t>Isernia (5,</w:t>
      </w:r>
      <w:r w:rsidR="00503222">
        <w:rPr>
          <w:rFonts w:ascii="Tahoma" w:eastAsia="Gulim" w:hAnsi="Tahoma" w:cs="Tahoma"/>
        </w:rPr>
        <w:t>9</w:t>
      </w:r>
      <w:r w:rsidR="00576807">
        <w:rPr>
          <w:rFonts w:ascii="Tahoma" w:eastAsia="Gulim" w:hAnsi="Tahoma" w:cs="Tahoma"/>
        </w:rPr>
        <w:t xml:space="preserve">), </w:t>
      </w:r>
      <w:r w:rsidR="00ED494A" w:rsidRPr="002C1290">
        <w:rPr>
          <w:rFonts w:ascii="Tahoma" w:eastAsia="Gulim" w:hAnsi="Tahoma" w:cs="Tahoma"/>
        </w:rPr>
        <w:t>Sud Sardegna</w:t>
      </w:r>
      <w:r w:rsidRPr="002C1290">
        <w:rPr>
          <w:rFonts w:ascii="Tahoma" w:eastAsia="Gulim" w:hAnsi="Tahoma" w:cs="Tahoma"/>
        </w:rPr>
        <w:t xml:space="preserve"> (</w:t>
      </w:r>
      <w:r w:rsidR="00503222">
        <w:rPr>
          <w:rFonts w:ascii="Tahoma" w:eastAsia="Gulim" w:hAnsi="Tahoma" w:cs="Tahoma"/>
        </w:rPr>
        <w:t>4,8</w:t>
      </w:r>
      <w:r w:rsidRPr="002C1290">
        <w:rPr>
          <w:rFonts w:ascii="Tahoma" w:eastAsia="Gulim" w:hAnsi="Tahoma" w:cs="Tahoma"/>
        </w:rPr>
        <w:t>),</w:t>
      </w:r>
      <w:bookmarkEnd w:id="7"/>
      <w:r w:rsidRPr="002C1290">
        <w:rPr>
          <w:rFonts w:ascii="Tahoma" w:eastAsia="Gulim" w:hAnsi="Tahoma" w:cs="Tahoma"/>
        </w:rPr>
        <w:t xml:space="preserve"> </w:t>
      </w:r>
      <w:r w:rsidR="00503222">
        <w:rPr>
          <w:rFonts w:ascii="Tahoma" w:eastAsia="Gulim" w:hAnsi="Tahoma" w:cs="Tahoma"/>
        </w:rPr>
        <w:t>Udine</w:t>
      </w:r>
      <w:r w:rsidR="00D75584" w:rsidRPr="002C1290">
        <w:rPr>
          <w:rFonts w:ascii="Tahoma" w:eastAsia="Gulim" w:hAnsi="Tahoma" w:cs="Tahoma"/>
        </w:rPr>
        <w:t xml:space="preserve"> (</w:t>
      </w:r>
      <w:r w:rsidR="00503222">
        <w:rPr>
          <w:rFonts w:ascii="Tahoma" w:eastAsia="Gulim" w:hAnsi="Tahoma" w:cs="Tahoma"/>
        </w:rPr>
        <w:t>4,7</w:t>
      </w:r>
      <w:r w:rsidR="00D75584" w:rsidRPr="002C1290">
        <w:rPr>
          <w:rFonts w:ascii="Tahoma" w:eastAsia="Gulim" w:hAnsi="Tahoma" w:cs="Tahoma"/>
        </w:rPr>
        <w:t xml:space="preserve">), </w:t>
      </w:r>
      <w:r w:rsidR="00503222">
        <w:rPr>
          <w:rFonts w:ascii="Tahoma" w:eastAsia="Gulim" w:hAnsi="Tahoma" w:cs="Tahoma"/>
        </w:rPr>
        <w:t xml:space="preserve">L’Aquila (4,6) e Chieti </w:t>
      </w:r>
      <w:r w:rsidR="00D75584" w:rsidRPr="002C1290">
        <w:rPr>
          <w:rFonts w:ascii="Tahoma" w:eastAsia="Gulim" w:hAnsi="Tahoma" w:cs="Tahoma"/>
        </w:rPr>
        <w:t>(</w:t>
      </w:r>
      <w:r w:rsidR="00503222">
        <w:rPr>
          <w:rFonts w:ascii="Tahoma" w:eastAsia="Gulim" w:hAnsi="Tahoma" w:cs="Tahoma"/>
        </w:rPr>
        <w:t>4,</w:t>
      </w:r>
      <w:r w:rsidR="00ED494A" w:rsidRPr="002C1290">
        <w:rPr>
          <w:rFonts w:ascii="Tahoma" w:eastAsia="Gulim" w:hAnsi="Tahoma" w:cs="Tahoma"/>
        </w:rPr>
        <w:t>5</w:t>
      </w:r>
      <w:r w:rsidR="00D75584" w:rsidRPr="002C1290">
        <w:rPr>
          <w:rFonts w:ascii="Tahoma" w:eastAsia="Gulim" w:hAnsi="Tahoma" w:cs="Tahoma"/>
        </w:rPr>
        <w:t>)</w:t>
      </w:r>
      <w:r w:rsidR="00ED494A" w:rsidRPr="002C1290">
        <w:rPr>
          <w:rFonts w:ascii="Tahoma" w:eastAsia="Gulim" w:hAnsi="Tahoma" w:cs="Tahoma"/>
        </w:rPr>
        <w:t xml:space="preserve"> le situazioni più critiche</w:t>
      </w:r>
      <w:r w:rsidRPr="002C1290">
        <w:rPr>
          <w:rFonts w:ascii="Tahoma" w:eastAsia="Gulim" w:hAnsi="Tahoma" w:cs="Tahoma"/>
        </w:rPr>
        <w:t xml:space="preserve">. </w:t>
      </w:r>
    </w:p>
    <w:p w:rsidR="00726089" w:rsidRPr="002C1290" w:rsidRDefault="00726089" w:rsidP="00726089">
      <w:pPr>
        <w:jc w:val="both"/>
        <w:rPr>
          <w:rFonts w:ascii="Tahoma" w:eastAsia="Gulim" w:hAnsi="Tahoma" w:cs="Tahoma"/>
        </w:rPr>
      </w:pPr>
    </w:p>
    <w:p w:rsidR="00726089" w:rsidRPr="002C1290" w:rsidRDefault="008B4672" w:rsidP="00726089">
      <w:pPr>
        <w:jc w:val="both"/>
        <w:rPr>
          <w:rFonts w:ascii="Tahoma" w:eastAsia="Gulim" w:hAnsi="Tahoma" w:cs="Tahoma"/>
        </w:rPr>
      </w:pPr>
      <w:r>
        <w:rPr>
          <w:rFonts w:ascii="Tahoma" w:eastAsia="Gulim" w:hAnsi="Tahoma" w:cs="Tahoma"/>
          <w:b/>
          <w:bCs/>
        </w:rPr>
        <w:t>Aosta,</w:t>
      </w:r>
      <w:r w:rsidR="00ED494A" w:rsidRPr="002C1290">
        <w:rPr>
          <w:rFonts w:ascii="Tahoma" w:eastAsia="Gulim" w:hAnsi="Tahoma" w:cs="Tahoma"/>
          <w:b/>
          <w:bCs/>
        </w:rPr>
        <w:t xml:space="preserve"> Trieste</w:t>
      </w:r>
      <w:r w:rsidR="00726089" w:rsidRPr="008B4672">
        <w:rPr>
          <w:rFonts w:ascii="Tahoma" w:eastAsia="Gulim" w:hAnsi="Tahoma" w:cs="Tahoma"/>
          <w:b/>
          <w:bCs/>
        </w:rPr>
        <w:t xml:space="preserve">, </w:t>
      </w:r>
      <w:r w:rsidRPr="008B4672">
        <w:rPr>
          <w:rFonts w:ascii="Tahoma" w:eastAsia="Gulim" w:hAnsi="Tahoma" w:cs="Tahoma"/>
          <w:b/>
          <w:bCs/>
        </w:rPr>
        <w:t>Massa</w:t>
      </w:r>
      <w:r>
        <w:rPr>
          <w:rFonts w:ascii="Tahoma" w:eastAsia="Gulim" w:hAnsi="Tahoma" w:cs="Tahoma"/>
          <w:b/>
          <w:bCs/>
        </w:rPr>
        <w:t xml:space="preserve"> </w:t>
      </w:r>
      <w:r w:rsidRPr="008B4672">
        <w:rPr>
          <w:rFonts w:ascii="Tahoma" w:eastAsia="Gulim" w:hAnsi="Tahoma" w:cs="Tahoma"/>
          <w:b/>
          <w:bCs/>
        </w:rPr>
        <w:t xml:space="preserve">Carrara, Genova, Milano, Rimini, Lucca, Livorno, Ascoli Piceno </w:t>
      </w:r>
      <w:r w:rsidR="00726089" w:rsidRPr="002C1290">
        <w:rPr>
          <w:rFonts w:ascii="Tahoma" w:eastAsia="Gulim" w:hAnsi="Tahoma" w:cs="Tahoma"/>
        </w:rPr>
        <w:t xml:space="preserve">viceversa, sono le </w:t>
      </w:r>
      <w:r w:rsidR="00726089" w:rsidRPr="002C1290">
        <w:rPr>
          <w:rFonts w:ascii="Tahoma" w:eastAsia="Gulim" w:hAnsi="Tahoma" w:cs="Tahoma"/>
          <w:b/>
          <w:bCs/>
        </w:rPr>
        <w:t>province in cui gli incidenti risultano meno gravi</w:t>
      </w:r>
      <w:r w:rsidR="00726089" w:rsidRPr="002C1290">
        <w:rPr>
          <w:rFonts w:ascii="Tahoma" w:eastAsia="Gulim" w:hAnsi="Tahoma" w:cs="Tahoma"/>
        </w:rPr>
        <w:t>. L’indice di mortalità, infatti, è inferiore ad 1 morto ogni 100 incidenti.</w:t>
      </w:r>
    </w:p>
    <w:bookmarkEnd w:id="6"/>
    <w:p w:rsidR="00726089" w:rsidRPr="002C1290" w:rsidRDefault="00726089" w:rsidP="00726089">
      <w:pPr>
        <w:jc w:val="both"/>
        <w:rPr>
          <w:rFonts w:ascii="Tahoma" w:eastAsia="Gulim" w:hAnsi="Tahoma" w:cs="Tahoma"/>
        </w:rPr>
      </w:pPr>
    </w:p>
    <w:p w:rsidR="00591F6E" w:rsidRPr="00F46BE9" w:rsidRDefault="002C556E" w:rsidP="00591F6E">
      <w:pPr>
        <w:pBdr>
          <w:bottom w:val="single" w:sz="4" w:space="1" w:color="auto"/>
        </w:pBdr>
        <w:jc w:val="both"/>
        <w:rPr>
          <w:rFonts w:ascii="Tahoma" w:eastAsia="Gulim" w:hAnsi="Tahoma" w:cs="Tahoma"/>
          <w:b/>
          <w:color w:val="6B0001"/>
        </w:rPr>
      </w:pPr>
      <w:r>
        <w:rPr>
          <w:rFonts w:ascii="Tahoma" w:eastAsia="Gulim" w:hAnsi="Tahoma" w:cs="Tahoma"/>
          <w:b/>
          <w:color w:val="6B0001"/>
        </w:rPr>
        <w:t>Mo</w:t>
      </w:r>
      <w:r w:rsidR="003350E1">
        <w:rPr>
          <w:rFonts w:ascii="Tahoma" w:eastAsia="Gulim" w:hAnsi="Tahoma" w:cs="Tahoma"/>
          <w:b/>
          <w:color w:val="6B0001"/>
        </w:rPr>
        <w:t>bilità dolce</w:t>
      </w:r>
    </w:p>
    <w:p w:rsidR="00FF02F1" w:rsidRDefault="00FF02F1" w:rsidP="00591F6E">
      <w:pPr>
        <w:jc w:val="both"/>
        <w:rPr>
          <w:rFonts w:ascii="Tahoma" w:eastAsia="Gulim" w:hAnsi="Tahoma" w:cs="Tahoma"/>
        </w:rPr>
      </w:pPr>
      <w:r>
        <w:rPr>
          <w:rFonts w:ascii="Tahoma" w:eastAsia="Gulim" w:hAnsi="Tahoma" w:cs="Tahoma"/>
        </w:rPr>
        <w:t>Nel corso del 2021 sono deceduti 471 pedoni, 220 ciclisti – di cui 13 su bici elettrica – e 9 conducenti di monopattino</w:t>
      </w:r>
      <w:r w:rsidR="008B08B0">
        <w:rPr>
          <w:rFonts w:ascii="Tahoma" w:eastAsia="Gulim" w:hAnsi="Tahoma" w:cs="Tahoma"/>
        </w:rPr>
        <w:t xml:space="preserve"> più un pedone morto investito da un monopattino</w:t>
      </w:r>
      <w:r>
        <w:rPr>
          <w:rFonts w:ascii="Tahoma" w:eastAsia="Gulim" w:hAnsi="Tahoma" w:cs="Tahoma"/>
        </w:rPr>
        <w:t>.</w:t>
      </w:r>
    </w:p>
    <w:p w:rsidR="000A3214" w:rsidRDefault="000A3214" w:rsidP="00591F6E">
      <w:pPr>
        <w:jc w:val="both"/>
        <w:rPr>
          <w:rFonts w:ascii="Tahoma" w:eastAsia="Gulim" w:hAnsi="Tahoma" w:cs="Tahoma"/>
        </w:rPr>
      </w:pPr>
      <w:r>
        <w:rPr>
          <w:rFonts w:ascii="Tahoma" w:eastAsia="Gulim" w:hAnsi="Tahoma" w:cs="Tahoma"/>
        </w:rPr>
        <w:t>Nella provincia di Roma il più alto numero di pedoni morti (50), seguit</w:t>
      </w:r>
      <w:r w:rsidR="00A73E72">
        <w:rPr>
          <w:rFonts w:ascii="Tahoma" w:eastAsia="Gulim" w:hAnsi="Tahoma" w:cs="Tahoma"/>
        </w:rPr>
        <w:t>a</w:t>
      </w:r>
      <w:r>
        <w:rPr>
          <w:rFonts w:ascii="Tahoma" w:eastAsia="Gulim" w:hAnsi="Tahoma" w:cs="Tahoma"/>
        </w:rPr>
        <w:t xml:space="preserve"> da Milano (20)</w:t>
      </w:r>
      <w:r w:rsidR="008445BE">
        <w:rPr>
          <w:rFonts w:ascii="Tahoma" w:eastAsia="Gulim" w:hAnsi="Tahoma" w:cs="Tahoma"/>
        </w:rPr>
        <w:t>, Napoli (18)</w:t>
      </w:r>
      <w:r>
        <w:rPr>
          <w:rFonts w:ascii="Tahoma" w:eastAsia="Gulim" w:hAnsi="Tahoma" w:cs="Tahoma"/>
        </w:rPr>
        <w:t xml:space="preserve"> e Torino (15).</w:t>
      </w:r>
    </w:p>
    <w:p w:rsidR="008445BE" w:rsidRDefault="008445BE" w:rsidP="00591F6E">
      <w:pPr>
        <w:jc w:val="both"/>
        <w:rPr>
          <w:rFonts w:ascii="Tahoma" w:eastAsia="Gulim" w:hAnsi="Tahoma" w:cs="Tahoma"/>
        </w:rPr>
      </w:pPr>
      <w:r>
        <w:rPr>
          <w:rFonts w:ascii="Tahoma" w:eastAsia="Gulim" w:hAnsi="Tahoma" w:cs="Tahoma"/>
        </w:rPr>
        <w:t xml:space="preserve">Nella provincia di Milano il più alto numero di ciclisti morti (10), seguono Padova e Pavia (8), Ravenna e Forlì-Cesena (7). </w:t>
      </w:r>
    </w:p>
    <w:p w:rsidR="003350E1" w:rsidRPr="001819B2" w:rsidRDefault="008445BE" w:rsidP="001819B2">
      <w:pPr>
        <w:jc w:val="both"/>
        <w:rPr>
          <w:rFonts w:ascii="Tahoma" w:eastAsia="Gulim" w:hAnsi="Tahoma" w:cs="Tahoma"/>
        </w:rPr>
      </w:pPr>
      <w:r>
        <w:rPr>
          <w:rFonts w:ascii="Tahoma" w:eastAsia="Gulim" w:hAnsi="Tahoma" w:cs="Tahoma"/>
        </w:rPr>
        <w:t>Dei 9 morti su monopattino ben 4 sono concentrati nella provincia di Roma che totalizza così il 44% dei morti a livello nazionale.</w:t>
      </w:r>
      <w:r w:rsidR="00A73E72">
        <w:rPr>
          <w:rFonts w:ascii="Tahoma" w:eastAsia="Gulim" w:hAnsi="Tahoma" w:cs="Tahoma"/>
        </w:rPr>
        <w:t xml:space="preserve"> </w:t>
      </w:r>
    </w:p>
    <w:sectPr w:rsidR="003350E1" w:rsidRPr="001819B2" w:rsidSect="008F1632">
      <w:footerReference w:type="default" r:id="rId8"/>
      <w:pgSz w:w="11906" w:h="16838"/>
      <w:pgMar w:top="539" w:right="1133" w:bottom="899" w:left="1080" w:header="708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568" w:rsidRDefault="007C1568" w:rsidP="00D55B5B">
      <w:r>
        <w:separator/>
      </w:r>
    </w:p>
  </w:endnote>
  <w:endnote w:type="continuationSeparator" w:id="0">
    <w:p w:rsidR="007C1568" w:rsidRDefault="007C1568" w:rsidP="00D5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ook w:val="0080"/>
    </w:tblPr>
    <w:tblGrid>
      <w:gridCol w:w="9288"/>
    </w:tblGrid>
    <w:tr w:rsidR="008F1632" w:rsidRPr="006856EC">
      <w:tc>
        <w:tcPr>
          <w:tcW w:w="9288" w:type="dxa"/>
          <w:tcBorders>
            <w:top w:val="single" w:sz="4" w:space="0" w:color="auto"/>
          </w:tcBorders>
        </w:tcPr>
        <w:p w:rsidR="008F1632" w:rsidRPr="00A92A4E" w:rsidRDefault="008F1632" w:rsidP="008F1632">
          <w:pPr>
            <w:pStyle w:val="Pidipagina"/>
            <w:rPr>
              <w:b/>
              <w:bCs/>
              <w:sz w:val="6"/>
              <w:szCs w:val="6"/>
            </w:rPr>
          </w:pPr>
        </w:p>
        <w:p w:rsidR="008F1632" w:rsidRPr="00A92A4E" w:rsidRDefault="00D56CE3" w:rsidP="008F1632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 w:rsidRPr="00A92A4E">
            <w:rPr>
              <w:b/>
              <w:bCs/>
              <w:sz w:val="16"/>
              <w:szCs w:val="16"/>
            </w:rPr>
            <w:t>ACI – AUTOMOBILE CLUB D’ITALIA</w:t>
          </w:r>
        </w:p>
        <w:p w:rsidR="008F1632" w:rsidRPr="00A92A4E" w:rsidRDefault="00D56CE3" w:rsidP="008F1632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A92A4E">
            <w:rPr>
              <w:i/>
              <w:iCs/>
              <w:sz w:val="16"/>
              <w:szCs w:val="16"/>
            </w:rPr>
            <w:t>Ufficio Stampa</w:t>
          </w:r>
        </w:p>
        <w:p w:rsidR="008F1632" w:rsidRPr="00A92A4E" w:rsidRDefault="00F834FA" w:rsidP="008F1632">
          <w:pPr>
            <w:pStyle w:val="Pidipagina"/>
            <w:jc w:val="center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Cell. 320.4335255-329</w:t>
          </w:r>
          <w:r w:rsidR="00436DF9">
            <w:rPr>
              <w:sz w:val="16"/>
              <w:szCs w:val="16"/>
              <w:lang w:val="de-DE"/>
            </w:rPr>
            <w:t>.</w:t>
          </w:r>
          <w:r>
            <w:rPr>
              <w:sz w:val="16"/>
              <w:szCs w:val="16"/>
              <w:lang w:val="de-DE"/>
            </w:rPr>
            <w:t>4104776 t</w:t>
          </w:r>
          <w:r w:rsidR="00D56CE3" w:rsidRPr="00A92A4E">
            <w:rPr>
              <w:sz w:val="16"/>
              <w:szCs w:val="16"/>
              <w:lang w:val="de-DE"/>
            </w:rPr>
            <w:t>el. 06.</w:t>
          </w:r>
          <w:r w:rsidR="00D56CE3">
            <w:rPr>
              <w:sz w:val="16"/>
              <w:szCs w:val="16"/>
              <w:lang w:val="de-DE"/>
            </w:rPr>
            <w:t>45406719</w:t>
          </w:r>
          <w:r w:rsidR="00D56CE3" w:rsidRPr="00A92A4E">
            <w:rPr>
              <w:sz w:val="16"/>
              <w:szCs w:val="16"/>
              <w:lang w:val="de-DE"/>
            </w:rPr>
            <w:t xml:space="preserve"> – ufficio.stampa@aci.it</w:t>
          </w:r>
        </w:p>
      </w:tc>
    </w:tr>
  </w:tbl>
  <w:p w:rsidR="008F1632" w:rsidRPr="00772F65" w:rsidRDefault="008F1632" w:rsidP="008F1632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568" w:rsidRDefault="007C1568" w:rsidP="00D55B5B">
      <w:r>
        <w:separator/>
      </w:r>
    </w:p>
  </w:footnote>
  <w:footnote w:type="continuationSeparator" w:id="0">
    <w:p w:rsidR="007C1568" w:rsidRDefault="007C1568" w:rsidP="00D55B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50E"/>
    <w:rsid w:val="000021BD"/>
    <w:rsid w:val="000150BA"/>
    <w:rsid w:val="000402D7"/>
    <w:rsid w:val="00044A20"/>
    <w:rsid w:val="00046A8A"/>
    <w:rsid w:val="00050644"/>
    <w:rsid w:val="00052B9E"/>
    <w:rsid w:val="00064DE1"/>
    <w:rsid w:val="00065846"/>
    <w:rsid w:val="00082733"/>
    <w:rsid w:val="00084241"/>
    <w:rsid w:val="00086A12"/>
    <w:rsid w:val="000874B1"/>
    <w:rsid w:val="00094EAA"/>
    <w:rsid w:val="000A1690"/>
    <w:rsid w:val="000A3214"/>
    <w:rsid w:val="000A42D9"/>
    <w:rsid w:val="000A4EBB"/>
    <w:rsid w:val="000A54B2"/>
    <w:rsid w:val="000B6011"/>
    <w:rsid w:val="000C3ED1"/>
    <w:rsid w:val="000C4DEB"/>
    <w:rsid w:val="000D1204"/>
    <w:rsid w:val="000E17F4"/>
    <w:rsid w:val="000E604F"/>
    <w:rsid w:val="000F2844"/>
    <w:rsid w:val="000F6D83"/>
    <w:rsid w:val="00102112"/>
    <w:rsid w:val="00111D55"/>
    <w:rsid w:val="00113455"/>
    <w:rsid w:val="001237AA"/>
    <w:rsid w:val="00124169"/>
    <w:rsid w:val="0012533E"/>
    <w:rsid w:val="0014018F"/>
    <w:rsid w:val="00140884"/>
    <w:rsid w:val="001408FA"/>
    <w:rsid w:val="0014205A"/>
    <w:rsid w:val="00142760"/>
    <w:rsid w:val="00147A96"/>
    <w:rsid w:val="00153D33"/>
    <w:rsid w:val="0015445C"/>
    <w:rsid w:val="001608CA"/>
    <w:rsid w:val="00161FAB"/>
    <w:rsid w:val="00163C05"/>
    <w:rsid w:val="00164D2E"/>
    <w:rsid w:val="00164F12"/>
    <w:rsid w:val="00167E91"/>
    <w:rsid w:val="001703EB"/>
    <w:rsid w:val="001722E1"/>
    <w:rsid w:val="00175E9F"/>
    <w:rsid w:val="00180510"/>
    <w:rsid w:val="001819B2"/>
    <w:rsid w:val="00182452"/>
    <w:rsid w:val="00191A44"/>
    <w:rsid w:val="00192896"/>
    <w:rsid w:val="00196592"/>
    <w:rsid w:val="001A366B"/>
    <w:rsid w:val="001A4EDE"/>
    <w:rsid w:val="001A624B"/>
    <w:rsid w:val="001A79F7"/>
    <w:rsid w:val="001B2E46"/>
    <w:rsid w:val="001B31E2"/>
    <w:rsid w:val="001B409A"/>
    <w:rsid w:val="001B500E"/>
    <w:rsid w:val="001B785A"/>
    <w:rsid w:val="001C0A0C"/>
    <w:rsid w:val="001C0FCB"/>
    <w:rsid w:val="001C17F8"/>
    <w:rsid w:val="001C2238"/>
    <w:rsid w:val="001C3011"/>
    <w:rsid w:val="001D0149"/>
    <w:rsid w:val="001D4351"/>
    <w:rsid w:val="001E4125"/>
    <w:rsid w:val="001E4C9E"/>
    <w:rsid w:val="001E61D2"/>
    <w:rsid w:val="001E6558"/>
    <w:rsid w:val="00200815"/>
    <w:rsid w:val="00204BEE"/>
    <w:rsid w:val="00206841"/>
    <w:rsid w:val="002075CB"/>
    <w:rsid w:val="00212DFC"/>
    <w:rsid w:val="002130CD"/>
    <w:rsid w:val="00222140"/>
    <w:rsid w:val="00224A2B"/>
    <w:rsid w:val="002256CA"/>
    <w:rsid w:val="00226162"/>
    <w:rsid w:val="0023365F"/>
    <w:rsid w:val="002339DD"/>
    <w:rsid w:val="002339F0"/>
    <w:rsid w:val="0024622E"/>
    <w:rsid w:val="00250CFE"/>
    <w:rsid w:val="00250FF6"/>
    <w:rsid w:val="00261712"/>
    <w:rsid w:val="00270340"/>
    <w:rsid w:val="00273C86"/>
    <w:rsid w:val="002842DE"/>
    <w:rsid w:val="00297373"/>
    <w:rsid w:val="002A23D9"/>
    <w:rsid w:val="002A3FD6"/>
    <w:rsid w:val="002A7E46"/>
    <w:rsid w:val="002B489D"/>
    <w:rsid w:val="002C049F"/>
    <w:rsid w:val="002C1290"/>
    <w:rsid w:val="002C16C0"/>
    <w:rsid w:val="002C5229"/>
    <w:rsid w:val="002C5319"/>
    <w:rsid w:val="002C556E"/>
    <w:rsid w:val="002C7336"/>
    <w:rsid w:val="002D2DD3"/>
    <w:rsid w:val="002D2EEE"/>
    <w:rsid w:val="002D73FD"/>
    <w:rsid w:val="002E2C60"/>
    <w:rsid w:val="002F077A"/>
    <w:rsid w:val="003055F2"/>
    <w:rsid w:val="00311F1C"/>
    <w:rsid w:val="00312415"/>
    <w:rsid w:val="00314E06"/>
    <w:rsid w:val="00316508"/>
    <w:rsid w:val="003231DF"/>
    <w:rsid w:val="00327F7B"/>
    <w:rsid w:val="003306BA"/>
    <w:rsid w:val="0033364E"/>
    <w:rsid w:val="00333BAA"/>
    <w:rsid w:val="003350E1"/>
    <w:rsid w:val="003363CC"/>
    <w:rsid w:val="0033645E"/>
    <w:rsid w:val="003426CB"/>
    <w:rsid w:val="003518E4"/>
    <w:rsid w:val="00352D6B"/>
    <w:rsid w:val="003541A8"/>
    <w:rsid w:val="00357520"/>
    <w:rsid w:val="00363D99"/>
    <w:rsid w:val="0036614F"/>
    <w:rsid w:val="00372225"/>
    <w:rsid w:val="0037336E"/>
    <w:rsid w:val="003752E2"/>
    <w:rsid w:val="00380575"/>
    <w:rsid w:val="00390AD5"/>
    <w:rsid w:val="0039458E"/>
    <w:rsid w:val="003972D2"/>
    <w:rsid w:val="00397C69"/>
    <w:rsid w:val="003A17C0"/>
    <w:rsid w:val="003A1E36"/>
    <w:rsid w:val="003B280A"/>
    <w:rsid w:val="003B29AA"/>
    <w:rsid w:val="003B2B62"/>
    <w:rsid w:val="003B2F9D"/>
    <w:rsid w:val="003B4BD7"/>
    <w:rsid w:val="003C30C6"/>
    <w:rsid w:val="003C3EA1"/>
    <w:rsid w:val="003C4D67"/>
    <w:rsid w:val="003D0AD4"/>
    <w:rsid w:val="003D4458"/>
    <w:rsid w:val="003D7CDA"/>
    <w:rsid w:val="003E1D2A"/>
    <w:rsid w:val="003E6887"/>
    <w:rsid w:val="003F4BDF"/>
    <w:rsid w:val="00403A52"/>
    <w:rsid w:val="00404230"/>
    <w:rsid w:val="0041696B"/>
    <w:rsid w:val="00420F44"/>
    <w:rsid w:val="00422167"/>
    <w:rsid w:val="0042548B"/>
    <w:rsid w:val="0043328B"/>
    <w:rsid w:val="00436D4E"/>
    <w:rsid w:val="00436DF9"/>
    <w:rsid w:val="00437BBC"/>
    <w:rsid w:val="00446102"/>
    <w:rsid w:val="00446B5C"/>
    <w:rsid w:val="00454EE7"/>
    <w:rsid w:val="004570F0"/>
    <w:rsid w:val="004632EF"/>
    <w:rsid w:val="00464B8B"/>
    <w:rsid w:val="004670B9"/>
    <w:rsid w:val="0046730C"/>
    <w:rsid w:val="004701A7"/>
    <w:rsid w:val="00481C0C"/>
    <w:rsid w:val="004820DE"/>
    <w:rsid w:val="004907BA"/>
    <w:rsid w:val="0049191B"/>
    <w:rsid w:val="00491B89"/>
    <w:rsid w:val="00492B02"/>
    <w:rsid w:val="00494896"/>
    <w:rsid w:val="00494F78"/>
    <w:rsid w:val="004A33D0"/>
    <w:rsid w:val="004A3E58"/>
    <w:rsid w:val="004A3F1D"/>
    <w:rsid w:val="004A6DF6"/>
    <w:rsid w:val="004B05EF"/>
    <w:rsid w:val="004B0E9E"/>
    <w:rsid w:val="004B2059"/>
    <w:rsid w:val="004B5D9B"/>
    <w:rsid w:val="004B6328"/>
    <w:rsid w:val="004B6F83"/>
    <w:rsid w:val="004C200D"/>
    <w:rsid w:val="004C7973"/>
    <w:rsid w:val="004D07EE"/>
    <w:rsid w:val="004D242A"/>
    <w:rsid w:val="004D44EF"/>
    <w:rsid w:val="004D7409"/>
    <w:rsid w:val="004D7E52"/>
    <w:rsid w:val="004E4231"/>
    <w:rsid w:val="004E4CAF"/>
    <w:rsid w:val="004E54AC"/>
    <w:rsid w:val="004E6955"/>
    <w:rsid w:val="004F498F"/>
    <w:rsid w:val="004F6DFF"/>
    <w:rsid w:val="004F750C"/>
    <w:rsid w:val="00501A9F"/>
    <w:rsid w:val="00503222"/>
    <w:rsid w:val="005114D3"/>
    <w:rsid w:val="00527FBB"/>
    <w:rsid w:val="0053513B"/>
    <w:rsid w:val="005354AA"/>
    <w:rsid w:val="005360A7"/>
    <w:rsid w:val="005400E7"/>
    <w:rsid w:val="00540CE4"/>
    <w:rsid w:val="005426B4"/>
    <w:rsid w:val="005560DC"/>
    <w:rsid w:val="005566D5"/>
    <w:rsid w:val="005606FC"/>
    <w:rsid w:val="0056771E"/>
    <w:rsid w:val="005727C7"/>
    <w:rsid w:val="00576807"/>
    <w:rsid w:val="0058131E"/>
    <w:rsid w:val="00591F6E"/>
    <w:rsid w:val="00594D2D"/>
    <w:rsid w:val="005A2D43"/>
    <w:rsid w:val="005A3783"/>
    <w:rsid w:val="005A3B1E"/>
    <w:rsid w:val="005A5369"/>
    <w:rsid w:val="005A5F82"/>
    <w:rsid w:val="005A7528"/>
    <w:rsid w:val="005B103B"/>
    <w:rsid w:val="005B27BC"/>
    <w:rsid w:val="005B5B3C"/>
    <w:rsid w:val="005B69CB"/>
    <w:rsid w:val="005C01C2"/>
    <w:rsid w:val="005C42C5"/>
    <w:rsid w:val="005D5395"/>
    <w:rsid w:val="005D5461"/>
    <w:rsid w:val="005D6E6F"/>
    <w:rsid w:val="005D7C61"/>
    <w:rsid w:val="005E3DE1"/>
    <w:rsid w:val="005F229B"/>
    <w:rsid w:val="005F2A61"/>
    <w:rsid w:val="00602569"/>
    <w:rsid w:val="0060346A"/>
    <w:rsid w:val="00615AEF"/>
    <w:rsid w:val="0062054F"/>
    <w:rsid w:val="006240A4"/>
    <w:rsid w:val="00624D4D"/>
    <w:rsid w:val="00625DCD"/>
    <w:rsid w:val="00625F8A"/>
    <w:rsid w:val="00637B47"/>
    <w:rsid w:val="006429E9"/>
    <w:rsid w:val="00643773"/>
    <w:rsid w:val="00650FEF"/>
    <w:rsid w:val="0065111F"/>
    <w:rsid w:val="00652AD1"/>
    <w:rsid w:val="00653E3D"/>
    <w:rsid w:val="00655C01"/>
    <w:rsid w:val="006652E0"/>
    <w:rsid w:val="00666A36"/>
    <w:rsid w:val="00667D3E"/>
    <w:rsid w:val="0067062D"/>
    <w:rsid w:val="00673F12"/>
    <w:rsid w:val="006856EC"/>
    <w:rsid w:val="00686336"/>
    <w:rsid w:val="006A1737"/>
    <w:rsid w:val="006A1F16"/>
    <w:rsid w:val="006A5C48"/>
    <w:rsid w:val="006A6C7B"/>
    <w:rsid w:val="006B7F1F"/>
    <w:rsid w:val="006C03C6"/>
    <w:rsid w:val="006C7FF3"/>
    <w:rsid w:val="006D4070"/>
    <w:rsid w:val="006E0B70"/>
    <w:rsid w:val="006E3B12"/>
    <w:rsid w:val="006E4E10"/>
    <w:rsid w:val="006E7470"/>
    <w:rsid w:val="007062D1"/>
    <w:rsid w:val="00726089"/>
    <w:rsid w:val="00727AB1"/>
    <w:rsid w:val="00731917"/>
    <w:rsid w:val="00744453"/>
    <w:rsid w:val="0076530C"/>
    <w:rsid w:val="00765313"/>
    <w:rsid w:val="00767722"/>
    <w:rsid w:val="0077316E"/>
    <w:rsid w:val="00776BD3"/>
    <w:rsid w:val="00782ABD"/>
    <w:rsid w:val="00787C43"/>
    <w:rsid w:val="0079231B"/>
    <w:rsid w:val="007A1280"/>
    <w:rsid w:val="007A2A47"/>
    <w:rsid w:val="007A3E01"/>
    <w:rsid w:val="007B0AC9"/>
    <w:rsid w:val="007B4E4A"/>
    <w:rsid w:val="007B73C8"/>
    <w:rsid w:val="007C1568"/>
    <w:rsid w:val="007C2F6A"/>
    <w:rsid w:val="007E603B"/>
    <w:rsid w:val="007F5BC3"/>
    <w:rsid w:val="00802F78"/>
    <w:rsid w:val="00813CC9"/>
    <w:rsid w:val="00826E92"/>
    <w:rsid w:val="00831988"/>
    <w:rsid w:val="00840E20"/>
    <w:rsid w:val="00840FA2"/>
    <w:rsid w:val="00843E4A"/>
    <w:rsid w:val="008445BE"/>
    <w:rsid w:val="0084512C"/>
    <w:rsid w:val="0085434B"/>
    <w:rsid w:val="00854ABB"/>
    <w:rsid w:val="00854AF0"/>
    <w:rsid w:val="00855AD2"/>
    <w:rsid w:val="008626F3"/>
    <w:rsid w:val="00867CE0"/>
    <w:rsid w:val="008759EA"/>
    <w:rsid w:val="00881AD4"/>
    <w:rsid w:val="00882122"/>
    <w:rsid w:val="00882F2E"/>
    <w:rsid w:val="008832BA"/>
    <w:rsid w:val="0089274E"/>
    <w:rsid w:val="00896818"/>
    <w:rsid w:val="00897FAA"/>
    <w:rsid w:val="008A1D04"/>
    <w:rsid w:val="008A64B4"/>
    <w:rsid w:val="008B08B0"/>
    <w:rsid w:val="008B4672"/>
    <w:rsid w:val="008B4FEF"/>
    <w:rsid w:val="008B5FDC"/>
    <w:rsid w:val="008B66A3"/>
    <w:rsid w:val="008C04D4"/>
    <w:rsid w:val="008C124B"/>
    <w:rsid w:val="008C4AD9"/>
    <w:rsid w:val="008D1472"/>
    <w:rsid w:val="008D525E"/>
    <w:rsid w:val="008D5611"/>
    <w:rsid w:val="008E384E"/>
    <w:rsid w:val="008E43B2"/>
    <w:rsid w:val="008E6ACD"/>
    <w:rsid w:val="008F1632"/>
    <w:rsid w:val="008F501F"/>
    <w:rsid w:val="008F58C5"/>
    <w:rsid w:val="008F73D1"/>
    <w:rsid w:val="008F7F3C"/>
    <w:rsid w:val="009039C0"/>
    <w:rsid w:val="009167DA"/>
    <w:rsid w:val="00917504"/>
    <w:rsid w:val="009233C0"/>
    <w:rsid w:val="00930EFF"/>
    <w:rsid w:val="0093714C"/>
    <w:rsid w:val="00953ED3"/>
    <w:rsid w:val="009630D1"/>
    <w:rsid w:val="00963DF8"/>
    <w:rsid w:val="00975363"/>
    <w:rsid w:val="0097735C"/>
    <w:rsid w:val="00982EC3"/>
    <w:rsid w:val="009955C6"/>
    <w:rsid w:val="0099715F"/>
    <w:rsid w:val="009A1097"/>
    <w:rsid w:val="009A59D4"/>
    <w:rsid w:val="009A737F"/>
    <w:rsid w:val="009B62E3"/>
    <w:rsid w:val="009C2D88"/>
    <w:rsid w:val="009C5234"/>
    <w:rsid w:val="009D048C"/>
    <w:rsid w:val="009D110D"/>
    <w:rsid w:val="009D6E71"/>
    <w:rsid w:val="009E0390"/>
    <w:rsid w:val="009E71E6"/>
    <w:rsid w:val="009E7A6A"/>
    <w:rsid w:val="009F6173"/>
    <w:rsid w:val="00A05DF4"/>
    <w:rsid w:val="00A06E59"/>
    <w:rsid w:val="00A06F08"/>
    <w:rsid w:val="00A113F0"/>
    <w:rsid w:val="00A20564"/>
    <w:rsid w:val="00A22191"/>
    <w:rsid w:val="00A34E4B"/>
    <w:rsid w:val="00A4088C"/>
    <w:rsid w:val="00A504DC"/>
    <w:rsid w:val="00A6098D"/>
    <w:rsid w:val="00A65CD6"/>
    <w:rsid w:val="00A667FB"/>
    <w:rsid w:val="00A70DB4"/>
    <w:rsid w:val="00A729E6"/>
    <w:rsid w:val="00A73E72"/>
    <w:rsid w:val="00A73F03"/>
    <w:rsid w:val="00A80ECE"/>
    <w:rsid w:val="00A85FCB"/>
    <w:rsid w:val="00A8626B"/>
    <w:rsid w:val="00A86C27"/>
    <w:rsid w:val="00A87F53"/>
    <w:rsid w:val="00A952E3"/>
    <w:rsid w:val="00AA2E00"/>
    <w:rsid w:val="00AA382E"/>
    <w:rsid w:val="00AA3ACF"/>
    <w:rsid w:val="00AA5EB9"/>
    <w:rsid w:val="00AB450E"/>
    <w:rsid w:val="00AB5898"/>
    <w:rsid w:val="00AB69CB"/>
    <w:rsid w:val="00AC4476"/>
    <w:rsid w:val="00AD42CC"/>
    <w:rsid w:val="00AE1540"/>
    <w:rsid w:val="00AE1F19"/>
    <w:rsid w:val="00AE56F4"/>
    <w:rsid w:val="00AF1DEA"/>
    <w:rsid w:val="00AF5372"/>
    <w:rsid w:val="00AF5D44"/>
    <w:rsid w:val="00AF6A85"/>
    <w:rsid w:val="00AF7C21"/>
    <w:rsid w:val="00B0645A"/>
    <w:rsid w:val="00B10D4B"/>
    <w:rsid w:val="00B12634"/>
    <w:rsid w:val="00B2577C"/>
    <w:rsid w:val="00B3272A"/>
    <w:rsid w:val="00B34098"/>
    <w:rsid w:val="00B45643"/>
    <w:rsid w:val="00B500AD"/>
    <w:rsid w:val="00B556B0"/>
    <w:rsid w:val="00B557F2"/>
    <w:rsid w:val="00B63EDB"/>
    <w:rsid w:val="00B704BF"/>
    <w:rsid w:val="00B86D2E"/>
    <w:rsid w:val="00B87CD9"/>
    <w:rsid w:val="00B910A8"/>
    <w:rsid w:val="00B91458"/>
    <w:rsid w:val="00B95651"/>
    <w:rsid w:val="00BA5C98"/>
    <w:rsid w:val="00BA6BB0"/>
    <w:rsid w:val="00BC6065"/>
    <w:rsid w:val="00BC761A"/>
    <w:rsid w:val="00BD2D34"/>
    <w:rsid w:val="00BD5D70"/>
    <w:rsid w:val="00BD6D26"/>
    <w:rsid w:val="00BE53A0"/>
    <w:rsid w:val="00BF0332"/>
    <w:rsid w:val="00BF70EB"/>
    <w:rsid w:val="00C1363F"/>
    <w:rsid w:val="00C17D86"/>
    <w:rsid w:val="00C20A07"/>
    <w:rsid w:val="00C219CA"/>
    <w:rsid w:val="00C21AF3"/>
    <w:rsid w:val="00C403AC"/>
    <w:rsid w:val="00C41010"/>
    <w:rsid w:val="00C43200"/>
    <w:rsid w:val="00C46F08"/>
    <w:rsid w:val="00C5267D"/>
    <w:rsid w:val="00C5457F"/>
    <w:rsid w:val="00C56157"/>
    <w:rsid w:val="00C60359"/>
    <w:rsid w:val="00C632F9"/>
    <w:rsid w:val="00C645EC"/>
    <w:rsid w:val="00C67247"/>
    <w:rsid w:val="00C6727B"/>
    <w:rsid w:val="00C765EC"/>
    <w:rsid w:val="00C906E3"/>
    <w:rsid w:val="00CA1443"/>
    <w:rsid w:val="00CA3753"/>
    <w:rsid w:val="00CB5ADC"/>
    <w:rsid w:val="00CC42EA"/>
    <w:rsid w:val="00CD1A92"/>
    <w:rsid w:val="00CD1F0B"/>
    <w:rsid w:val="00CD6A80"/>
    <w:rsid w:val="00CE3C46"/>
    <w:rsid w:val="00CE4EFD"/>
    <w:rsid w:val="00CE6530"/>
    <w:rsid w:val="00CF139D"/>
    <w:rsid w:val="00CF21C3"/>
    <w:rsid w:val="00CF27FF"/>
    <w:rsid w:val="00CF2F2A"/>
    <w:rsid w:val="00CF64A3"/>
    <w:rsid w:val="00D0289E"/>
    <w:rsid w:val="00D049F1"/>
    <w:rsid w:val="00D04ADF"/>
    <w:rsid w:val="00D058B5"/>
    <w:rsid w:val="00D06865"/>
    <w:rsid w:val="00D15DBC"/>
    <w:rsid w:val="00D17C06"/>
    <w:rsid w:val="00D202D4"/>
    <w:rsid w:val="00D206D3"/>
    <w:rsid w:val="00D312C9"/>
    <w:rsid w:val="00D33381"/>
    <w:rsid w:val="00D34DFF"/>
    <w:rsid w:val="00D362C4"/>
    <w:rsid w:val="00D41FA5"/>
    <w:rsid w:val="00D52AE3"/>
    <w:rsid w:val="00D54141"/>
    <w:rsid w:val="00D55B5B"/>
    <w:rsid w:val="00D55C32"/>
    <w:rsid w:val="00D56CE3"/>
    <w:rsid w:val="00D57085"/>
    <w:rsid w:val="00D618F3"/>
    <w:rsid w:val="00D66587"/>
    <w:rsid w:val="00D70109"/>
    <w:rsid w:val="00D75584"/>
    <w:rsid w:val="00D75993"/>
    <w:rsid w:val="00D77A5F"/>
    <w:rsid w:val="00D86DFB"/>
    <w:rsid w:val="00D87250"/>
    <w:rsid w:val="00D92986"/>
    <w:rsid w:val="00DB074D"/>
    <w:rsid w:val="00DB583A"/>
    <w:rsid w:val="00DC231F"/>
    <w:rsid w:val="00DC6A29"/>
    <w:rsid w:val="00DE14BC"/>
    <w:rsid w:val="00DE5CE5"/>
    <w:rsid w:val="00DF4B4A"/>
    <w:rsid w:val="00E019C6"/>
    <w:rsid w:val="00E07299"/>
    <w:rsid w:val="00E17ADB"/>
    <w:rsid w:val="00E20414"/>
    <w:rsid w:val="00E20617"/>
    <w:rsid w:val="00E2117B"/>
    <w:rsid w:val="00E22117"/>
    <w:rsid w:val="00E2386E"/>
    <w:rsid w:val="00E25DE3"/>
    <w:rsid w:val="00E341D3"/>
    <w:rsid w:val="00E36F52"/>
    <w:rsid w:val="00E3740A"/>
    <w:rsid w:val="00E45673"/>
    <w:rsid w:val="00E45F99"/>
    <w:rsid w:val="00E47FB4"/>
    <w:rsid w:val="00E60608"/>
    <w:rsid w:val="00E61E38"/>
    <w:rsid w:val="00E6287D"/>
    <w:rsid w:val="00E73416"/>
    <w:rsid w:val="00E80276"/>
    <w:rsid w:val="00E80E51"/>
    <w:rsid w:val="00E87A7F"/>
    <w:rsid w:val="00EA1920"/>
    <w:rsid w:val="00EC5456"/>
    <w:rsid w:val="00ED494A"/>
    <w:rsid w:val="00ED6407"/>
    <w:rsid w:val="00EE30A0"/>
    <w:rsid w:val="00EF36E1"/>
    <w:rsid w:val="00EF4888"/>
    <w:rsid w:val="00F03938"/>
    <w:rsid w:val="00F03A1A"/>
    <w:rsid w:val="00F05E64"/>
    <w:rsid w:val="00F1175C"/>
    <w:rsid w:val="00F149BE"/>
    <w:rsid w:val="00F241C4"/>
    <w:rsid w:val="00F2609F"/>
    <w:rsid w:val="00F26500"/>
    <w:rsid w:val="00F27F01"/>
    <w:rsid w:val="00F3700B"/>
    <w:rsid w:val="00F4276D"/>
    <w:rsid w:val="00F46BE9"/>
    <w:rsid w:val="00F47374"/>
    <w:rsid w:val="00F517D3"/>
    <w:rsid w:val="00F52AA8"/>
    <w:rsid w:val="00F543B8"/>
    <w:rsid w:val="00F63A74"/>
    <w:rsid w:val="00F670FC"/>
    <w:rsid w:val="00F736DE"/>
    <w:rsid w:val="00F747B9"/>
    <w:rsid w:val="00F80E01"/>
    <w:rsid w:val="00F810F8"/>
    <w:rsid w:val="00F834FA"/>
    <w:rsid w:val="00F91D23"/>
    <w:rsid w:val="00F9524B"/>
    <w:rsid w:val="00F95C1C"/>
    <w:rsid w:val="00FA115B"/>
    <w:rsid w:val="00FA168A"/>
    <w:rsid w:val="00FA3C6C"/>
    <w:rsid w:val="00FA3C75"/>
    <w:rsid w:val="00FA4AB3"/>
    <w:rsid w:val="00FB08DC"/>
    <w:rsid w:val="00FB09C7"/>
    <w:rsid w:val="00FC34BC"/>
    <w:rsid w:val="00FC4E4B"/>
    <w:rsid w:val="00FD3F84"/>
    <w:rsid w:val="00FD7DFE"/>
    <w:rsid w:val="00FE2F50"/>
    <w:rsid w:val="00FE47EC"/>
    <w:rsid w:val="00FE5853"/>
    <w:rsid w:val="00FF02F1"/>
    <w:rsid w:val="00FF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50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50E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B450E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AB450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834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4FA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C4D6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1010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9A59D4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9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9D4"/>
    <w:rPr>
      <w:rFonts w:ascii="Segoe UI" w:eastAsia="Times New Roman" w:hAnsi="Segoe UI" w:cs="Segoe UI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8B08B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FF9BB-1FDC-482C-B7DD-A4B086CC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745631</dc:creator>
  <cp:lastModifiedBy>745631</cp:lastModifiedBy>
  <cp:revision>3</cp:revision>
  <cp:lastPrinted>2021-10-06T11:12:00Z</cp:lastPrinted>
  <dcterms:created xsi:type="dcterms:W3CDTF">2022-10-10T08:27:00Z</dcterms:created>
  <dcterms:modified xsi:type="dcterms:W3CDTF">2022-10-10T08:28:00Z</dcterms:modified>
</cp:coreProperties>
</file>