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10D6" w14:textId="77777777" w:rsidR="00586F52" w:rsidRPr="00023F50" w:rsidRDefault="00854ADF">
      <w:pPr>
        <w:pStyle w:val="AZ-PCompany"/>
        <w:rPr>
          <w:lang w:val="it-IT"/>
        </w:rPr>
      </w:pPr>
      <w:r w:rsidRPr="00023F50">
        <w:rPr>
          <w:lang w:val="it-IT"/>
        </w:rPr>
        <w:t>COMUNICATO STAMPA</w:t>
      </w:r>
    </w:p>
    <w:p w14:paraId="016E7EAF" w14:textId="77777777" w:rsidR="00EB0433" w:rsidRDefault="00854ADF" w:rsidP="003114A9">
      <w:pPr>
        <w:pStyle w:val="Titolo1"/>
        <w:spacing w:line="900" w:lineRule="exact"/>
        <w:rPr>
          <w:spacing w:val="-20"/>
          <w:sz w:val="86"/>
          <w:szCs w:val="86"/>
          <w:lang w:val="it-IT"/>
        </w:rPr>
      </w:pPr>
      <w:r w:rsidRPr="00023F50">
        <w:rPr>
          <w:spacing w:val="-20"/>
          <w:sz w:val="86"/>
          <w:szCs w:val="86"/>
          <w:lang w:val="it-IT"/>
        </w:rPr>
        <w:t>Allianz Trade</w:t>
      </w:r>
    </w:p>
    <w:p w14:paraId="501A18A3" w14:textId="61D83BF0" w:rsidR="006E294F" w:rsidRDefault="00EB0433" w:rsidP="00EB0433">
      <w:pPr>
        <w:pStyle w:val="Titolo1"/>
        <w:spacing w:line="900" w:lineRule="exact"/>
        <w:ind w:firstLine="0"/>
        <w:rPr>
          <w:rStyle w:val="AZ-TBrandColorBlue3"/>
          <w:spacing w:val="-20"/>
          <w:sz w:val="70"/>
          <w:szCs w:val="72"/>
          <w:lang w:val="it-IT"/>
        </w:rPr>
      </w:pPr>
      <w:proofErr w:type="gramStart"/>
      <w:r w:rsidRPr="003114A9">
        <w:rPr>
          <w:rStyle w:val="AZ-TBrandColorBlue3"/>
          <w:spacing w:val="-20"/>
          <w:sz w:val="70"/>
          <w:szCs w:val="72"/>
          <w:lang w:val="it-IT"/>
        </w:rPr>
        <w:t>100</w:t>
      </w:r>
      <w:proofErr w:type="gramEnd"/>
      <w:r w:rsidRPr="003114A9">
        <w:rPr>
          <w:rStyle w:val="AZ-TBrandColorBlue3"/>
          <w:spacing w:val="-20"/>
          <w:sz w:val="70"/>
          <w:szCs w:val="72"/>
          <w:lang w:val="it-IT"/>
        </w:rPr>
        <w:t xml:space="preserve"> miliardi di euro </w:t>
      </w:r>
      <w:r>
        <w:rPr>
          <w:rStyle w:val="AZ-TBrandColorBlue3"/>
          <w:spacing w:val="-20"/>
          <w:sz w:val="70"/>
          <w:szCs w:val="72"/>
          <w:lang w:val="it-IT"/>
        </w:rPr>
        <w:t xml:space="preserve">di perdita per il </w:t>
      </w:r>
      <w:r w:rsidRPr="003114A9">
        <w:rPr>
          <w:rStyle w:val="AZ-TBrandColorBlue3"/>
          <w:spacing w:val="-20"/>
          <w:sz w:val="70"/>
          <w:szCs w:val="72"/>
          <w:lang w:val="it-IT"/>
        </w:rPr>
        <w:t>settore automobilistico</w:t>
      </w:r>
      <w:r w:rsidR="00886206">
        <w:rPr>
          <w:rStyle w:val="AZ-TBrandColorBlue3"/>
          <w:spacing w:val="-20"/>
          <w:sz w:val="70"/>
          <w:szCs w:val="72"/>
          <w:lang w:val="it-IT"/>
        </w:rPr>
        <w:t xml:space="preserve"> europeo</w:t>
      </w:r>
      <w:r w:rsidRPr="003114A9">
        <w:rPr>
          <w:rStyle w:val="AZ-TBrandColorBlue3"/>
          <w:spacing w:val="-20"/>
          <w:sz w:val="70"/>
          <w:szCs w:val="72"/>
          <w:lang w:val="it-IT"/>
        </w:rPr>
        <w:t xml:space="preserve"> </w:t>
      </w:r>
    </w:p>
    <w:p w14:paraId="55BDEB26" w14:textId="36673B3E" w:rsidR="003114A9" w:rsidRPr="003114A9" w:rsidRDefault="003E6311" w:rsidP="00001403">
      <w:pPr>
        <w:pStyle w:val="Sottotitolo"/>
        <w:jc w:val="both"/>
        <w:rPr>
          <w:lang w:val="it-IT"/>
        </w:rPr>
      </w:pPr>
      <w:r w:rsidRPr="0034499E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77DEA02" wp14:editId="43D639AB">
                <wp:simplePos x="0" y="0"/>
                <wp:positionH relativeFrom="page">
                  <wp:posOffset>224155</wp:posOffset>
                </wp:positionH>
                <wp:positionV relativeFrom="page">
                  <wp:posOffset>4104005</wp:posOffset>
                </wp:positionV>
                <wp:extent cx="971550" cy="898525"/>
                <wp:effectExtent l="0" t="0" r="6350" b="317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898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A536EA" w14:textId="6BF60BFC" w:rsidR="00A80273" w:rsidRPr="00A80273" w:rsidRDefault="001A6E7B">
                            <w:pPr>
                              <w:pStyle w:val="AZ-PDate"/>
                              <w:rPr>
                                <w:color w:val="003781"/>
                                <w:lang w:val="it-IT"/>
                              </w:rPr>
                            </w:pPr>
                            <w:r>
                              <w:rPr>
                                <w:color w:val="003781"/>
                                <w:lang w:val="it-IT"/>
                              </w:rPr>
                              <w:t>Milano</w:t>
                            </w:r>
                            <w:r w:rsidR="00A80273" w:rsidRPr="00A80273">
                              <w:rPr>
                                <w:color w:val="003781"/>
                                <w:lang w:val="it-IT"/>
                              </w:rPr>
                              <w:t xml:space="preserve">, </w:t>
                            </w:r>
                          </w:p>
                          <w:p w14:paraId="40388626" w14:textId="60CD614C" w:rsidR="00586F52" w:rsidRPr="00A80273" w:rsidRDefault="00886206">
                            <w:pPr>
                              <w:pStyle w:val="AZ-PDate"/>
                              <w:rPr>
                                <w:color w:val="003781"/>
                                <w:lang w:val="it-IT"/>
                              </w:rPr>
                            </w:pPr>
                            <w:r>
                              <w:rPr>
                                <w:color w:val="003781"/>
                                <w:lang w:val="it-IT"/>
                              </w:rPr>
                              <w:t>20</w:t>
                            </w:r>
                            <w:r w:rsidR="00854ADF" w:rsidRPr="00A80273">
                              <w:rPr>
                                <w:color w:val="003781"/>
                                <w:lang w:val="it-IT"/>
                              </w:rPr>
                              <w:t xml:space="preserve"> </w:t>
                            </w:r>
                            <w:r w:rsidR="003114A9">
                              <w:rPr>
                                <w:color w:val="003781"/>
                                <w:lang w:val="it-IT"/>
                              </w:rPr>
                              <w:t>settembre</w:t>
                            </w:r>
                            <w:r w:rsidR="00854ADF" w:rsidRPr="00A80273">
                              <w:rPr>
                                <w:color w:val="003781"/>
                                <w:lang w:val="it-IT"/>
                              </w:rPr>
                              <w:t xml:space="preserve"> </w:t>
                            </w:r>
                            <w:r w:rsidR="00C14A47" w:rsidRPr="00A80273">
                              <w:rPr>
                                <w:color w:val="003781"/>
                                <w:lang w:val="it-IT"/>
                              </w:rPr>
                              <w:t>2022</w:t>
                            </w:r>
                          </w:p>
                          <w:p w14:paraId="537F4329" w14:textId="77777777" w:rsidR="00586F52" w:rsidRPr="00A80273" w:rsidRDefault="00586F52">
                            <w:pPr>
                              <w:pStyle w:val="AZ-PDate"/>
                              <w:rPr>
                                <w:color w:val="003781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DEA0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7.65pt;margin-top:323.15pt;width:76.5pt;height:70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" filled="f" stroked="f" strokeweight=".5pt">
                <v:textbox inset="0,0,0,0">
                  <w:txbxContent>
                    <w:p w14:paraId="3FA536EA" w14:textId="6BF60BFC" w:rsidR="00A80273" w:rsidRPr="00A80273" w:rsidRDefault="001A6E7B">
                      <w:pPr>
                        <w:pStyle w:val="AZ-PDate"/>
                        <w:rPr>
                          <w:color w:val="003781"/>
                          <w:lang w:val="it-IT"/>
                        </w:rPr>
                      </w:pPr>
                      <w:r>
                        <w:rPr>
                          <w:color w:val="003781"/>
                          <w:lang w:val="it-IT"/>
                        </w:rPr>
                        <w:t>Milano</w:t>
                      </w:r>
                      <w:r w:rsidR="00A80273" w:rsidRPr="00A80273">
                        <w:rPr>
                          <w:color w:val="003781"/>
                          <w:lang w:val="it-IT"/>
                        </w:rPr>
                        <w:t xml:space="preserve">, </w:t>
                      </w:r>
                    </w:p>
                    <w:p w14:paraId="40388626" w14:textId="60CD614C" w:rsidR="00586F52" w:rsidRPr="00A80273" w:rsidRDefault="00886206">
                      <w:pPr>
                        <w:pStyle w:val="AZ-PDate"/>
                        <w:rPr>
                          <w:color w:val="003781"/>
                          <w:lang w:val="it-IT"/>
                        </w:rPr>
                      </w:pPr>
                      <w:r>
                        <w:rPr>
                          <w:color w:val="003781"/>
                          <w:lang w:val="it-IT"/>
                        </w:rPr>
                        <w:t>20</w:t>
                      </w:r>
                      <w:r w:rsidR="00854ADF" w:rsidRPr="00A80273">
                        <w:rPr>
                          <w:color w:val="003781"/>
                          <w:lang w:val="it-IT"/>
                        </w:rPr>
                        <w:t xml:space="preserve"> </w:t>
                      </w:r>
                      <w:r w:rsidR="003114A9">
                        <w:rPr>
                          <w:color w:val="003781"/>
                          <w:lang w:val="it-IT"/>
                        </w:rPr>
                        <w:t>settembre</w:t>
                      </w:r>
                      <w:r w:rsidR="00854ADF" w:rsidRPr="00A80273">
                        <w:rPr>
                          <w:color w:val="003781"/>
                          <w:lang w:val="it-IT"/>
                        </w:rPr>
                        <w:t xml:space="preserve"> </w:t>
                      </w:r>
                      <w:r w:rsidR="00C14A47" w:rsidRPr="00A80273">
                        <w:rPr>
                          <w:color w:val="003781"/>
                          <w:lang w:val="it-IT"/>
                        </w:rPr>
                        <w:t>2022</w:t>
                      </w:r>
                    </w:p>
                    <w:p w14:paraId="537F4329" w14:textId="77777777" w:rsidR="00586F52" w:rsidRPr="00A80273" w:rsidRDefault="00586F52">
                      <w:pPr>
                        <w:pStyle w:val="AZ-PDate"/>
                        <w:rPr>
                          <w:color w:val="003781"/>
                          <w:lang w:val="it-IT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F487D">
        <w:rPr>
          <w:lang w:val="it-IT"/>
        </w:rPr>
        <w:t xml:space="preserve">Il nuovo </w:t>
      </w:r>
      <w:r w:rsidR="00886206">
        <w:rPr>
          <w:lang w:val="it-IT"/>
        </w:rPr>
        <w:t>s</w:t>
      </w:r>
      <w:r w:rsidR="00E32536">
        <w:rPr>
          <w:lang w:val="it-IT"/>
        </w:rPr>
        <w:t xml:space="preserve">tudio Allianz Trade analizza le cause </w:t>
      </w:r>
      <w:r w:rsidR="00001403">
        <w:rPr>
          <w:lang w:val="it-IT"/>
        </w:rPr>
        <w:t>della crisi dei semiconduttori e ne stima le conseguenze.</w:t>
      </w:r>
    </w:p>
    <w:p w14:paraId="7D34520A" w14:textId="77777777" w:rsidR="000C1F2E" w:rsidRDefault="000C1F2E" w:rsidP="003114A9">
      <w:pPr>
        <w:jc w:val="both"/>
        <w:rPr>
          <w:b/>
          <w:bCs/>
          <w:color w:val="2F5496" w:themeColor="accent1" w:themeShade="BF"/>
          <w:lang w:val="it-IT"/>
        </w:rPr>
      </w:pPr>
    </w:p>
    <w:p w14:paraId="2C6EC055" w14:textId="77777777" w:rsidR="000C1F2E" w:rsidRDefault="000C1F2E" w:rsidP="000C1F2E">
      <w:pPr>
        <w:jc w:val="both"/>
        <w:rPr>
          <w:color w:val="2F5496" w:themeColor="accent1" w:themeShade="BF"/>
          <w:lang w:val="it-IT"/>
        </w:rPr>
      </w:pPr>
      <w:r>
        <w:rPr>
          <w:color w:val="2F5496" w:themeColor="accent1" w:themeShade="BF"/>
          <w:lang w:val="it-IT"/>
        </w:rPr>
        <w:t xml:space="preserve">La </w:t>
      </w:r>
      <w:r w:rsidRPr="000C1F2E">
        <w:rPr>
          <w:color w:val="2F5496" w:themeColor="accent1" w:themeShade="BF"/>
          <w:lang w:val="it-IT"/>
        </w:rPr>
        <w:t xml:space="preserve">ricerca condotta </w:t>
      </w:r>
      <w:r>
        <w:rPr>
          <w:color w:val="2F5496" w:themeColor="accent1" w:themeShade="BF"/>
          <w:lang w:val="it-IT"/>
        </w:rPr>
        <w:t>da</w:t>
      </w:r>
      <w:r w:rsidRPr="000C1F2E">
        <w:rPr>
          <w:color w:val="2F5496" w:themeColor="accent1" w:themeShade="BF"/>
          <w:lang w:val="it-IT"/>
        </w:rPr>
        <w:t xml:space="preserve"> </w:t>
      </w:r>
      <w:r w:rsidRPr="000C1F2E">
        <w:rPr>
          <w:b/>
          <w:bCs/>
          <w:color w:val="2F5496" w:themeColor="accent1" w:themeShade="BF"/>
          <w:lang w:val="it-IT"/>
        </w:rPr>
        <w:t>Allianz Trade</w:t>
      </w:r>
      <w:r w:rsidRPr="000C1F2E">
        <w:rPr>
          <w:color w:val="2F5496" w:themeColor="accent1" w:themeShade="BF"/>
          <w:lang w:val="it-IT"/>
        </w:rPr>
        <w:t xml:space="preserve">, </w:t>
      </w:r>
      <w:proofErr w:type="spellStart"/>
      <w:r w:rsidRPr="004C0F22">
        <w:rPr>
          <w:i/>
          <w:iCs/>
          <w:color w:val="2F5496" w:themeColor="accent1" w:themeShade="BF"/>
          <w:lang w:val="it-IT"/>
        </w:rPr>
        <w:t>Ieader</w:t>
      </w:r>
      <w:proofErr w:type="spellEnd"/>
      <w:r w:rsidRPr="000C1F2E">
        <w:rPr>
          <w:color w:val="2F5496" w:themeColor="accent1" w:themeShade="BF"/>
          <w:lang w:val="it-IT"/>
        </w:rPr>
        <w:t xml:space="preserve"> mondiale dell’assicurazione crediti</w:t>
      </w:r>
      <w:r>
        <w:rPr>
          <w:color w:val="2F5496" w:themeColor="accent1" w:themeShade="BF"/>
          <w:lang w:val="it-IT"/>
        </w:rPr>
        <w:t>, evidenzia come l</w:t>
      </w:r>
      <w:r w:rsidRPr="000C1F2E">
        <w:rPr>
          <w:color w:val="2F5496" w:themeColor="accent1" w:themeShade="BF"/>
          <w:lang w:val="it-IT"/>
        </w:rPr>
        <w:t xml:space="preserve">'industria automobilistica </w:t>
      </w:r>
      <w:r>
        <w:rPr>
          <w:color w:val="2F5496" w:themeColor="accent1" w:themeShade="BF"/>
          <w:lang w:val="it-IT"/>
        </w:rPr>
        <w:t>sia</w:t>
      </w:r>
      <w:r w:rsidRPr="000C1F2E">
        <w:rPr>
          <w:color w:val="2F5496" w:themeColor="accent1" w:themeShade="BF"/>
          <w:lang w:val="it-IT"/>
        </w:rPr>
        <w:t xml:space="preserve"> stata la principale vittima della crisi globale dei semiconduttori. </w:t>
      </w:r>
    </w:p>
    <w:p w14:paraId="17F0EE02" w14:textId="0A76BDCE" w:rsidR="000C1F2E" w:rsidRDefault="00E85F97" w:rsidP="000C1F2E">
      <w:pPr>
        <w:jc w:val="both"/>
        <w:rPr>
          <w:color w:val="2F5496" w:themeColor="accent1" w:themeShade="BF"/>
          <w:lang w:val="it-IT"/>
        </w:rPr>
      </w:pPr>
      <w:r>
        <w:rPr>
          <w:color w:val="2F5496" w:themeColor="accent1" w:themeShade="BF"/>
          <w:lang w:val="it-IT"/>
        </w:rPr>
        <w:t>L</w:t>
      </w:r>
      <w:r w:rsidRPr="000C1F2E">
        <w:rPr>
          <w:color w:val="2F5496" w:themeColor="accent1" w:themeShade="BF"/>
          <w:lang w:val="it-IT"/>
        </w:rPr>
        <w:t>e case automobilistiche</w:t>
      </w:r>
      <w:r>
        <w:rPr>
          <w:color w:val="2F5496" w:themeColor="accent1" w:themeShade="BF"/>
          <w:lang w:val="it-IT"/>
        </w:rPr>
        <w:t>,</w:t>
      </w:r>
      <w:r w:rsidRPr="000C1F2E">
        <w:rPr>
          <w:color w:val="2F5496" w:themeColor="accent1" w:themeShade="BF"/>
          <w:lang w:val="it-IT"/>
        </w:rPr>
        <w:t xml:space="preserve"> all'inizio della pandemia</w:t>
      </w:r>
      <w:r>
        <w:rPr>
          <w:color w:val="2F5496" w:themeColor="accent1" w:themeShade="BF"/>
          <w:lang w:val="it-IT"/>
        </w:rPr>
        <w:t>, p</w:t>
      </w:r>
      <w:r w:rsidR="000C1F2E" w:rsidRPr="000C1F2E">
        <w:rPr>
          <w:color w:val="2F5496" w:themeColor="accent1" w:themeShade="BF"/>
          <w:lang w:val="it-IT"/>
        </w:rPr>
        <w:t xml:space="preserve">er </w:t>
      </w:r>
      <w:r>
        <w:rPr>
          <w:color w:val="2F5496" w:themeColor="accent1" w:themeShade="BF"/>
          <w:lang w:val="it-IT"/>
        </w:rPr>
        <w:t>fronteggiare</w:t>
      </w:r>
      <w:r w:rsidR="000C1F2E" w:rsidRPr="000C1F2E">
        <w:rPr>
          <w:color w:val="2F5496" w:themeColor="accent1" w:themeShade="BF"/>
          <w:lang w:val="it-IT"/>
        </w:rPr>
        <w:t xml:space="preserve"> le difficoltà hanno </w:t>
      </w:r>
      <w:r>
        <w:rPr>
          <w:color w:val="2F5496" w:themeColor="accent1" w:themeShade="BF"/>
          <w:lang w:val="it-IT"/>
        </w:rPr>
        <w:t>operato</w:t>
      </w:r>
      <w:r w:rsidR="000C1F2E" w:rsidRPr="000C1F2E">
        <w:rPr>
          <w:color w:val="2F5496" w:themeColor="accent1" w:themeShade="BF"/>
          <w:lang w:val="it-IT"/>
        </w:rPr>
        <w:t xml:space="preserve"> profondi tagli alle scorte e agli ordini </w:t>
      </w:r>
      <w:r>
        <w:rPr>
          <w:color w:val="2F5496" w:themeColor="accent1" w:themeShade="BF"/>
          <w:lang w:val="it-IT"/>
        </w:rPr>
        <w:t>ma poi, q</w:t>
      </w:r>
      <w:r w:rsidR="000C1F2E" w:rsidRPr="000C1F2E">
        <w:rPr>
          <w:color w:val="2F5496" w:themeColor="accent1" w:themeShade="BF"/>
          <w:lang w:val="it-IT"/>
        </w:rPr>
        <w:t>uando nella seconda metà del 2020</w:t>
      </w:r>
      <w:r>
        <w:rPr>
          <w:color w:val="2F5496" w:themeColor="accent1" w:themeShade="BF"/>
          <w:lang w:val="it-IT"/>
        </w:rPr>
        <w:t>,</w:t>
      </w:r>
      <w:r w:rsidR="000C1F2E" w:rsidRPr="000C1F2E">
        <w:rPr>
          <w:color w:val="2F5496" w:themeColor="accent1" w:themeShade="BF"/>
          <w:lang w:val="it-IT"/>
        </w:rPr>
        <w:t xml:space="preserve"> la domanda</w:t>
      </w:r>
      <w:r>
        <w:rPr>
          <w:color w:val="2F5496" w:themeColor="accent1" w:themeShade="BF"/>
          <w:lang w:val="it-IT"/>
        </w:rPr>
        <w:t xml:space="preserve"> di automobili</w:t>
      </w:r>
      <w:r w:rsidR="000C1F2E" w:rsidRPr="000C1F2E">
        <w:rPr>
          <w:color w:val="2F5496" w:themeColor="accent1" w:themeShade="BF"/>
          <w:lang w:val="it-IT"/>
        </w:rPr>
        <w:t xml:space="preserve"> è ripresa più rapidamente del previsto, </w:t>
      </w:r>
      <w:r>
        <w:rPr>
          <w:color w:val="2F5496" w:themeColor="accent1" w:themeShade="BF"/>
          <w:lang w:val="it-IT"/>
        </w:rPr>
        <w:t>si sono ritrovate ad affrontare un</w:t>
      </w:r>
      <w:r w:rsidR="004C0F22">
        <w:rPr>
          <w:color w:val="2F5496" w:themeColor="accent1" w:themeShade="BF"/>
          <w:lang w:val="it-IT"/>
        </w:rPr>
        <w:t xml:space="preserve"> nuovo</w:t>
      </w:r>
      <w:r>
        <w:rPr>
          <w:color w:val="2F5496" w:themeColor="accent1" w:themeShade="BF"/>
          <w:lang w:val="it-IT"/>
        </w:rPr>
        <w:t xml:space="preserve"> scenario:</w:t>
      </w:r>
      <w:r w:rsidR="00EB0433">
        <w:rPr>
          <w:color w:val="2F5496" w:themeColor="accent1" w:themeShade="BF"/>
          <w:lang w:val="it-IT"/>
        </w:rPr>
        <w:t xml:space="preserve"> </w:t>
      </w:r>
      <w:r>
        <w:rPr>
          <w:color w:val="2F5496" w:themeColor="accent1" w:themeShade="BF"/>
          <w:lang w:val="it-IT"/>
        </w:rPr>
        <w:t>i</w:t>
      </w:r>
      <w:r w:rsidR="000C1F2E" w:rsidRPr="000C1F2E">
        <w:rPr>
          <w:color w:val="2F5496" w:themeColor="accent1" w:themeShade="BF"/>
          <w:lang w:val="it-IT"/>
        </w:rPr>
        <w:t xml:space="preserve"> produttori di chip avevano </w:t>
      </w:r>
      <w:r>
        <w:rPr>
          <w:color w:val="2F5496" w:themeColor="accent1" w:themeShade="BF"/>
          <w:lang w:val="it-IT"/>
        </w:rPr>
        <w:t>ridistribuito</w:t>
      </w:r>
      <w:r w:rsidR="000C1F2E" w:rsidRPr="000C1F2E">
        <w:rPr>
          <w:color w:val="2F5496" w:themeColor="accent1" w:themeShade="BF"/>
          <w:lang w:val="it-IT"/>
        </w:rPr>
        <w:t xml:space="preserve"> le</w:t>
      </w:r>
      <w:r w:rsidR="00886206">
        <w:rPr>
          <w:color w:val="2F5496" w:themeColor="accent1" w:themeShade="BF"/>
          <w:lang w:val="it-IT"/>
        </w:rPr>
        <w:t xml:space="preserve"> loro scorte</w:t>
      </w:r>
      <w:r w:rsidR="000C1F2E" w:rsidRPr="000C1F2E">
        <w:rPr>
          <w:color w:val="2F5496" w:themeColor="accent1" w:themeShade="BF"/>
          <w:lang w:val="it-IT"/>
        </w:rPr>
        <w:t xml:space="preserve"> a mercati dove la domanda era in crescita, come computer e</w:t>
      </w:r>
      <w:r w:rsidR="00886206">
        <w:rPr>
          <w:color w:val="2F5496" w:themeColor="accent1" w:themeShade="BF"/>
          <w:lang w:val="it-IT"/>
        </w:rPr>
        <w:t xml:space="preserve"> </w:t>
      </w:r>
      <w:r w:rsidR="000C1F2E" w:rsidRPr="000C1F2E">
        <w:rPr>
          <w:color w:val="2F5496" w:themeColor="accent1" w:themeShade="BF"/>
          <w:lang w:val="it-IT"/>
        </w:rPr>
        <w:t>data center, lasciando poc</w:t>
      </w:r>
      <w:r>
        <w:rPr>
          <w:color w:val="2F5496" w:themeColor="accent1" w:themeShade="BF"/>
          <w:lang w:val="it-IT"/>
        </w:rPr>
        <w:t xml:space="preserve">he </w:t>
      </w:r>
      <w:r w:rsidR="00886206">
        <w:rPr>
          <w:color w:val="2F5496" w:themeColor="accent1" w:themeShade="BF"/>
          <w:lang w:val="it-IT"/>
        </w:rPr>
        <w:t>quantità</w:t>
      </w:r>
      <w:r w:rsidR="000C1F2E" w:rsidRPr="000C1F2E">
        <w:rPr>
          <w:color w:val="2F5496" w:themeColor="accent1" w:themeShade="BF"/>
          <w:lang w:val="it-IT"/>
        </w:rPr>
        <w:t xml:space="preserve"> a disposizione dell’industria automobilistica. </w:t>
      </w:r>
    </w:p>
    <w:p w14:paraId="2D8596A2" w14:textId="183FEEC1" w:rsidR="00B209C4" w:rsidRDefault="000C1F2E" w:rsidP="000C1F2E">
      <w:pPr>
        <w:jc w:val="both"/>
        <w:rPr>
          <w:color w:val="2F5496" w:themeColor="accent1" w:themeShade="BF"/>
          <w:lang w:val="it-IT"/>
        </w:rPr>
      </w:pPr>
      <w:r>
        <w:rPr>
          <w:color w:val="2F5496" w:themeColor="accent1" w:themeShade="BF"/>
          <w:lang w:val="it-IT"/>
        </w:rPr>
        <w:t>La conseguenza principale è che, a</w:t>
      </w:r>
      <w:r w:rsidRPr="000C1F2E">
        <w:rPr>
          <w:color w:val="2F5496" w:themeColor="accent1" w:themeShade="BF"/>
          <w:lang w:val="it-IT"/>
        </w:rPr>
        <w:t xml:space="preserve"> quasi due anni dai primi segnali di crisi, la produzione di automobili </w:t>
      </w:r>
      <w:r w:rsidR="00E85F97">
        <w:rPr>
          <w:color w:val="2F5496" w:themeColor="accent1" w:themeShade="BF"/>
          <w:lang w:val="it-IT"/>
        </w:rPr>
        <w:t xml:space="preserve">è </w:t>
      </w:r>
      <w:r w:rsidRPr="000C1F2E">
        <w:rPr>
          <w:color w:val="2F5496" w:themeColor="accent1" w:themeShade="BF"/>
          <w:lang w:val="it-IT"/>
        </w:rPr>
        <w:t>rima</w:t>
      </w:r>
      <w:r w:rsidR="00E85F97">
        <w:rPr>
          <w:color w:val="2F5496" w:themeColor="accent1" w:themeShade="BF"/>
          <w:lang w:val="it-IT"/>
        </w:rPr>
        <w:t>sta</w:t>
      </w:r>
      <w:r w:rsidRPr="000C1F2E">
        <w:rPr>
          <w:color w:val="2F5496" w:themeColor="accent1" w:themeShade="BF"/>
          <w:lang w:val="it-IT"/>
        </w:rPr>
        <w:t xml:space="preserve"> molto al di sotto dei livelli del 2019, con </w:t>
      </w:r>
      <w:r w:rsidRPr="00B209C4">
        <w:rPr>
          <w:b/>
          <w:bCs/>
          <w:color w:val="2F5496" w:themeColor="accent1" w:themeShade="BF"/>
          <w:lang w:val="it-IT"/>
        </w:rPr>
        <w:t xml:space="preserve">una </w:t>
      </w:r>
      <w:r w:rsidR="00886206">
        <w:rPr>
          <w:b/>
          <w:bCs/>
          <w:color w:val="2F5496" w:themeColor="accent1" w:themeShade="BF"/>
          <w:lang w:val="it-IT"/>
        </w:rPr>
        <w:t>diminuzione</w:t>
      </w:r>
      <w:r w:rsidRPr="00B209C4">
        <w:rPr>
          <w:b/>
          <w:bCs/>
          <w:color w:val="2F5496" w:themeColor="accent1" w:themeShade="BF"/>
          <w:lang w:val="it-IT"/>
        </w:rPr>
        <w:t xml:space="preserve"> </w:t>
      </w:r>
      <w:r w:rsidR="00E85F97" w:rsidRPr="00B209C4">
        <w:rPr>
          <w:b/>
          <w:bCs/>
          <w:color w:val="2F5496" w:themeColor="accent1" w:themeShade="BF"/>
          <w:lang w:val="it-IT"/>
        </w:rPr>
        <w:t xml:space="preserve">stimata </w:t>
      </w:r>
      <w:r w:rsidR="00E85F97">
        <w:rPr>
          <w:b/>
          <w:bCs/>
          <w:color w:val="2F5496" w:themeColor="accent1" w:themeShade="BF"/>
          <w:lang w:val="it-IT"/>
        </w:rPr>
        <w:t>in</w:t>
      </w:r>
      <w:r w:rsidRPr="00B209C4">
        <w:rPr>
          <w:b/>
          <w:bCs/>
          <w:color w:val="2F5496" w:themeColor="accent1" w:themeShade="BF"/>
          <w:lang w:val="it-IT"/>
        </w:rPr>
        <w:t xml:space="preserve"> oltre 18 milioni di veicoli</w:t>
      </w:r>
      <w:r w:rsidR="00EB0433">
        <w:rPr>
          <w:color w:val="2F5496" w:themeColor="accent1" w:themeShade="BF"/>
          <w:lang w:val="it-IT"/>
        </w:rPr>
        <w:t xml:space="preserve">, </w:t>
      </w:r>
      <w:r w:rsidRPr="000C1F2E">
        <w:rPr>
          <w:color w:val="2F5496" w:themeColor="accent1" w:themeShade="BF"/>
          <w:lang w:val="it-IT"/>
        </w:rPr>
        <w:t>a livello globale.</w:t>
      </w:r>
    </w:p>
    <w:p w14:paraId="72536ECC" w14:textId="0CCE3946" w:rsidR="000C1F2E" w:rsidRPr="000C1F2E" w:rsidRDefault="000C1F2E" w:rsidP="000C1F2E">
      <w:pPr>
        <w:jc w:val="both"/>
        <w:rPr>
          <w:color w:val="2F5496" w:themeColor="accent1" w:themeShade="BF"/>
          <w:lang w:val="it-IT"/>
        </w:rPr>
      </w:pPr>
      <w:r w:rsidRPr="000C1F2E">
        <w:rPr>
          <w:color w:val="2F5496" w:themeColor="accent1" w:themeShade="BF"/>
          <w:lang w:val="it-IT"/>
        </w:rPr>
        <w:t xml:space="preserve">La situazione </w:t>
      </w:r>
      <w:r w:rsidR="00EB0433">
        <w:rPr>
          <w:color w:val="2F5496" w:themeColor="accent1" w:themeShade="BF"/>
          <w:lang w:val="it-IT"/>
        </w:rPr>
        <w:t xml:space="preserve">è </w:t>
      </w:r>
      <w:r w:rsidR="00B209C4">
        <w:rPr>
          <w:color w:val="2F5496" w:themeColor="accent1" w:themeShade="BF"/>
          <w:lang w:val="it-IT"/>
        </w:rPr>
        <w:t xml:space="preserve">particolarmente grave </w:t>
      </w:r>
      <w:r w:rsidRPr="000C1F2E">
        <w:rPr>
          <w:color w:val="2F5496" w:themeColor="accent1" w:themeShade="BF"/>
          <w:lang w:val="it-IT"/>
        </w:rPr>
        <w:t>in Europa dove, a differenza della Cina e del Nord America, la produzione di veicoli ha raggiunto nel 2021 un picco negativo</w:t>
      </w:r>
      <w:r w:rsidR="004C0F22">
        <w:rPr>
          <w:color w:val="2F5496" w:themeColor="accent1" w:themeShade="BF"/>
          <w:lang w:val="it-IT"/>
        </w:rPr>
        <w:t>,</w:t>
      </w:r>
      <w:r w:rsidRPr="000C1F2E">
        <w:rPr>
          <w:color w:val="2F5496" w:themeColor="accent1" w:themeShade="BF"/>
          <w:lang w:val="it-IT"/>
        </w:rPr>
        <w:t xml:space="preserve"> mai osservato prima</w:t>
      </w:r>
      <w:r w:rsidR="00E85F97">
        <w:rPr>
          <w:color w:val="2F5496" w:themeColor="accent1" w:themeShade="BF"/>
          <w:lang w:val="it-IT"/>
        </w:rPr>
        <w:t>,</w:t>
      </w:r>
      <w:r w:rsidRPr="000C1F2E">
        <w:rPr>
          <w:color w:val="2F5496" w:themeColor="accent1" w:themeShade="BF"/>
          <w:lang w:val="it-IT"/>
        </w:rPr>
        <w:t xml:space="preserve"> di 13 milioni di veicoli</w:t>
      </w:r>
      <w:r w:rsidR="00E85F97">
        <w:rPr>
          <w:color w:val="2F5496" w:themeColor="accent1" w:themeShade="BF"/>
          <w:lang w:val="it-IT"/>
        </w:rPr>
        <w:t xml:space="preserve"> in meno</w:t>
      </w:r>
      <w:r w:rsidRPr="000C1F2E">
        <w:rPr>
          <w:color w:val="2F5496" w:themeColor="accent1" w:themeShade="BF"/>
          <w:lang w:val="it-IT"/>
        </w:rPr>
        <w:t>. Dopo qualche segnale di miglioramento</w:t>
      </w:r>
      <w:r w:rsidR="004C0F22">
        <w:rPr>
          <w:color w:val="2F5496" w:themeColor="accent1" w:themeShade="BF"/>
          <w:lang w:val="it-IT"/>
        </w:rPr>
        <w:t>,</w:t>
      </w:r>
      <w:r w:rsidRPr="000C1F2E">
        <w:rPr>
          <w:color w:val="2F5496" w:themeColor="accent1" w:themeShade="BF"/>
          <w:lang w:val="it-IT"/>
        </w:rPr>
        <w:t xml:space="preserve"> alla fine del 2021 e nel primo trimestre del 2022, la ripresa produttiva è stata nuovamente frenata da ulteriori tensioni nell</w:t>
      </w:r>
      <w:r w:rsidR="00E6207C">
        <w:rPr>
          <w:color w:val="2F5496" w:themeColor="accent1" w:themeShade="BF"/>
          <w:lang w:val="it-IT"/>
        </w:rPr>
        <w:t>e</w:t>
      </w:r>
      <w:r w:rsidRPr="000C1F2E">
        <w:rPr>
          <w:color w:val="2F5496" w:themeColor="accent1" w:themeShade="BF"/>
          <w:lang w:val="it-IT"/>
        </w:rPr>
        <w:t xml:space="preserve"> caten</w:t>
      </w:r>
      <w:r w:rsidR="00E6207C">
        <w:rPr>
          <w:color w:val="2F5496" w:themeColor="accent1" w:themeShade="BF"/>
          <w:lang w:val="it-IT"/>
        </w:rPr>
        <w:t>e</w:t>
      </w:r>
      <w:r w:rsidRPr="000C1F2E">
        <w:rPr>
          <w:color w:val="2F5496" w:themeColor="accent1" w:themeShade="BF"/>
          <w:lang w:val="it-IT"/>
        </w:rPr>
        <w:t xml:space="preserve"> di approvvigionamento, causate dai lockdown nella regione di Shanghai e dall'invasione </w:t>
      </w:r>
      <w:r w:rsidR="00E6207C">
        <w:rPr>
          <w:color w:val="2F5496" w:themeColor="accent1" w:themeShade="BF"/>
          <w:lang w:val="it-IT"/>
        </w:rPr>
        <w:t xml:space="preserve">in </w:t>
      </w:r>
      <w:r w:rsidRPr="000C1F2E">
        <w:rPr>
          <w:color w:val="2F5496" w:themeColor="accent1" w:themeShade="BF"/>
          <w:lang w:val="it-IT"/>
        </w:rPr>
        <w:t xml:space="preserve">Ucraina da parte della Russia. </w:t>
      </w:r>
    </w:p>
    <w:p w14:paraId="23C5A2FE" w14:textId="77777777" w:rsidR="00B209C4" w:rsidRDefault="00B209C4" w:rsidP="000C1F2E">
      <w:pPr>
        <w:jc w:val="both"/>
        <w:rPr>
          <w:color w:val="2F5496" w:themeColor="accent1" w:themeShade="BF"/>
          <w:lang w:val="it-IT"/>
        </w:rPr>
      </w:pPr>
    </w:p>
    <w:p w14:paraId="287D67EA" w14:textId="77777777" w:rsidR="008A7488" w:rsidRDefault="00B209C4" w:rsidP="00B209C4">
      <w:pPr>
        <w:jc w:val="both"/>
        <w:rPr>
          <w:color w:val="2F5496" w:themeColor="accent1" w:themeShade="BF"/>
          <w:lang w:val="it-IT"/>
        </w:rPr>
      </w:pPr>
      <w:r w:rsidRPr="008A7488">
        <w:rPr>
          <w:b/>
          <w:bCs/>
          <w:color w:val="2F5496" w:themeColor="accent1" w:themeShade="BF"/>
          <w:lang w:val="it-IT"/>
        </w:rPr>
        <w:t>Quanto è costato all'economia europea il crollo conseguente alla carenza di semiconduttori?</w:t>
      </w:r>
      <w:r w:rsidRPr="00B209C4">
        <w:rPr>
          <w:color w:val="2F5496" w:themeColor="accent1" w:themeShade="BF"/>
          <w:lang w:val="it-IT"/>
        </w:rPr>
        <w:t xml:space="preserve"> </w:t>
      </w:r>
    </w:p>
    <w:p w14:paraId="112B95B7" w14:textId="5A624247" w:rsidR="000C1F2E" w:rsidRDefault="00B209C4" w:rsidP="00B209C4">
      <w:pPr>
        <w:jc w:val="both"/>
        <w:rPr>
          <w:color w:val="2F5496" w:themeColor="accent1" w:themeShade="BF"/>
          <w:lang w:val="it-IT"/>
        </w:rPr>
      </w:pPr>
      <w:r w:rsidRPr="00B209C4">
        <w:rPr>
          <w:color w:val="2F5496" w:themeColor="accent1" w:themeShade="BF"/>
          <w:lang w:val="it-IT"/>
        </w:rPr>
        <w:t>Per scoprirlo</w:t>
      </w:r>
      <w:r w:rsidR="008A7488">
        <w:rPr>
          <w:color w:val="2F5496" w:themeColor="accent1" w:themeShade="BF"/>
          <w:lang w:val="it-IT"/>
        </w:rPr>
        <w:t>, lo studio</w:t>
      </w:r>
      <w:r w:rsidRPr="00B209C4">
        <w:rPr>
          <w:color w:val="2F5496" w:themeColor="accent1" w:themeShade="BF"/>
          <w:lang w:val="it-IT"/>
        </w:rPr>
        <w:t xml:space="preserve"> </w:t>
      </w:r>
      <w:r w:rsidR="008A7488">
        <w:rPr>
          <w:color w:val="2F5496" w:themeColor="accent1" w:themeShade="BF"/>
          <w:lang w:val="it-IT"/>
        </w:rPr>
        <w:t>ha</w:t>
      </w:r>
      <w:r w:rsidRPr="00B209C4">
        <w:rPr>
          <w:color w:val="2F5496" w:themeColor="accent1" w:themeShade="BF"/>
          <w:lang w:val="it-IT"/>
        </w:rPr>
        <w:t xml:space="preserve"> misurato la perdita di produzione confrontando </w:t>
      </w:r>
      <w:r w:rsidR="00EB0433">
        <w:rPr>
          <w:color w:val="2F5496" w:themeColor="accent1" w:themeShade="BF"/>
          <w:lang w:val="it-IT"/>
        </w:rPr>
        <w:t>il</w:t>
      </w:r>
      <w:r w:rsidRPr="00B209C4">
        <w:rPr>
          <w:color w:val="2F5496" w:themeColor="accent1" w:themeShade="BF"/>
          <w:lang w:val="it-IT"/>
        </w:rPr>
        <w:t xml:space="preserve"> 2021 e </w:t>
      </w:r>
      <w:r w:rsidR="00EB0433">
        <w:rPr>
          <w:color w:val="2F5496" w:themeColor="accent1" w:themeShade="BF"/>
          <w:lang w:val="it-IT"/>
        </w:rPr>
        <w:t>il</w:t>
      </w:r>
      <w:r w:rsidRPr="00B209C4">
        <w:rPr>
          <w:color w:val="2F5496" w:themeColor="accent1" w:themeShade="BF"/>
          <w:lang w:val="it-IT"/>
        </w:rPr>
        <w:t xml:space="preserve"> 2022 con </w:t>
      </w:r>
      <w:r w:rsidR="00EB0433">
        <w:rPr>
          <w:color w:val="2F5496" w:themeColor="accent1" w:themeShade="BF"/>
          <w:lang w:val="it-IT"/>
        </w:rPr>
        <w:t xml:space="preserve">il </w:t>
      </w:r>
      <w:r w:rsidRPr="00B209C4">
        <w:rPr>
          <w:color w:val="2F5496" w:themeColor="accent1" w:themeShade="BF"/>
          <w:lang w:val="it-IT"/>
        </w:rPr>
        <w:t>2019</w:t>
      </w:r>
      <w:r w:rsidR="008A7488">
        <w:rPr>
          <w:color w:val="2F5496" w:themeColor="accent1" w:themeShade="BF"/>
          <w:lang w:val="it-IT"/>
        </w:rPr>
        <w:t xml:space="preserve">. </w:t>
      </w:r>
      <w:r w:rsidRPr="00B209C4">
        <w:rPr>
          <w:color w:val="2F5496" w:themeColor="accent1" w:themeShade="BF"/>
          <w:lang w:val="it-IT"/>
        </w:rPr>
        <w:t xml:space="preserve">Dai calcoli si deduce che nel 2021 </w:t>
      </w:r>
      <w:r w:rsidR="008A7488">
        <w:rPr>
          <w:color w:val="2F5496" w:themeColor="accent1" w:themeShade="BF"/>
          <w:lang w:val="it-IT"/>
        </w:rPr>
        <w:t>sono</w:t>
      </w:r>
      <w:r w:rsidRPr="00B209C4">
        <w:rPr>
          <w:color w:val="2F5496" w:themeColor="accent1" w:themeShade="BF"/>
          <w:lang w:val="it-IT"/>
        </w:rPr>
        <w:t xml:space="preserve"> </w:t>
      </w:r>
      <w:r w:rsidR="008A7488">
        <w:rPr>
          <w:color w:val="2F5496" w:themeColor="accent1" w:themeShade="BF"/>
          <w:lang w:val="it-IT"/>
        </w:rPr>
        <w:t>già andati in fumo</w:t>
      </w:r>
      <w:r w:rsidRPr="00B209C4">
        <w:rPr>
          <w:color w:val="2F5496" w:themeColor="accent1" w:themeShade="BF"/>
          <w:lang w:val="it-IT"/>
        </w:rPr>
        <w:t xml:space="preserve"> </w:t>
      </w:r>
      <w:r w:rsidR="008A7488">
        <w:rPr>
          <w:color w:val="2F5496" w:themeColor="accent1" w:themeShade="BF"/>
          <w:lang w:val="it-IT"/>
        </w:rPr>
        <w:t>oltre</w:t>
      </w:r>
      <w:r w:rsidRPr="00B209C4">
        <w:rPr>
          <w:color w:val="2F5496" w:themeColor="accent1" w:themeShade="BF"/>
          <w:lang w:val="it-IT"/>
        </w:rPr>
        <w:t xml:space="preserve"> 50 miliardi di euro, pari allo 0,4% del PIL dell</w:t>
      </w:r>
      <w:r w:rsidR="00E6207C">
        <w:rPr>
          <w:color w:val="2F5496" w:themeColor="accent1" w:themeShade="BF"/>
          <w:lang w:val="it-IT"/>
        </w:rPr>
        <w:t>’Europa</w:t>
      </w:r>
      <w:r w:rsidR="008A7488">
        <w:rPr>
          <w:color w:val="2F5496" w:themeColor="accent1" w:themeShade="BF"/>
          <w:lang w:val="it-IT"/>
        </w:rPr>
        <w:t>, mentre,</w:t>
      </w:r>
      <w:r w:rsidRPr="00B209C4">
        <w:rPr>
          <w:color w:val="2F5496" w:themeColor="accent1" w:themeShade="BF"/>
          <w:lang w:val="it-IT"/>
        </w:rPr>
        <w:t xml:space="preserve"> </w:t>
      </w:r>
      <w:r w:rsidR="008A7488">
        <w:rPr>
          <w:color w:val="2F5496" w:themeColor="accent1" w:themeShade="BF"/>
          <w:lang w:val="it-IT"/>
        </w:rPr>
        <w:t>n</w:t>
      </w:r>
      <w:r w:rsidRPr="00B209C4">
        <w:rPr>
          <w:color w:val="2F5496" w:themeColor="accent1" w:themeShade="BF"/>
          <w:lang w:val="it-IT"/>
        </w:rPr>
        <w:t xml:space="preserve">el 2022, potrebbero </w:t>
      </w:r>
      <w:r w:rsidR="008A7488">
        <w:rPr>
          <w:color w:val="2F5496" w:themeColor="accent1" w:themeShade="BF"/>
          <w:lang w:val="it-IT"/>
        </w:rPr>
        <w:t xml:space="preserve">essere persi </w:t>
      </w:r>
      <w:r w:rsidRPr="00B209C4">
        <w:rPr>
          <w:color w:val="2F5496" w:themeColor="accent1" w:themeShade="BF"/>
          <w:lang w:val="it-IT"/>
        </w:rPr>
        <w:t xml:space="preserve">altri 47 miliardi di euro, per un totale </w:t>
      </w:r>
      <w:r w:rsidRPr="00EB0433">
        <w:rPr>
          <w:b/>
          <w:bCs/>
          <w:color w:val="2F5496" w:themeColor="accent1" w:themeShade="BF"/>
          <w:lang w:val="it-IT"/>
        </w:rPr>
        <w:t>di 98 miliardi di euro</w:t>
      </w:r>
      <w:r w:rsidR="008A7488" w:rsidRPr="00EB0433">
        <w:rPr>
          <w:b/>
          <w:bCs/>
          <w:color w:val="2F5496" w:themeColor="accent1" w:themeShade="BF"/>
          <w:lang w:val="it-IT"/>
        </w:rPr>
        <w:t xml:space="preserve"> in due anni</w:t>
      </w:r>
      <w:r w:rsidRPr="00B209C4">
        <w:rPr>
          <w:color w:val="2F5496" w:themeColor="accent1" w:themeShade="BF"/>
          <w:lang w:val="it-IT"/>
        </w:rPr>
        <w:t xml:space="preserve">. </w:t>
      </w:r>
    </w:p>
    <w:p w14:paraId="199F1195" w14:textId="6D3A4282" w:rsidR="000C1F2E" w:rsidRPr="000C1F2E" w:rsidRDefault="008A7488" w:rsidP="000C1F2E">
      <w:pPr>
        <w:jc w:val="both"/>
        <w:rPr>
          <w:color w:val="2F5496" w:themeColor="accent1" w:themeShade="BF"/>
          <w:lang w:val="it-IT"/>
        </w:rPr>
      </w:pPr>
      <w:r w:rsidRPr="008A7488">
        <w:rPr>
          <w:color w:val="2F5496" w:themeColor="accent1" w:themeShade="BF"/>
          <w:lang w:val="it-IT"/>
        </w:rPr>
        <w:t xml:space="preserve">Tra i Paesi europei, la Germania è la più penalizzata: per l'industria tedesca, </w:t>
      </w:r>
      <w:r>
        <w:rPr>
          <w:color w:val="2F5496" w:themeColor="accent1" w:themeShade="BF"/>
          <w:lang w:val="it-IT"/>
        </w:rPr>
        <w:t>lo studio</w:t>
      </w:r>
      <w:r w:rsidRPr="008A7488">
        <w:rPr>
          <w:color w:val="2F5496" w:themeColor="accent1" w:themeShade="BF"/>
          <w:lang w:val="it-IT"/>
        </w:rPr>
        <w:t xml:space="preserve"> stima un</w:t>
      </w:r>
      <w:r w:rsidR="00E6207C">
        <w:rPr>
          <w:color w:val="2F5496" w:themeColor="accent1" w:themeShade="BF"/>
          <w:lang w:val="it-IT"/>
        </w:rPr>
        <w:t xml:space="preserve"> pesante calo </w:t>
      </w:r>
      <w:r>
        <w:rPr>
          <w:color w:val="2F5496" w:themeColor="accent1" w:themeShade="BF"/>
          <w:lang w:val="it-IT"/>
        </w:rPr>
        <w:t>d</w:t>
      </w:r>
      <w:r w:rsidR="00E6207C">
        <w:rPr>
          <w:color w:val="2F5496" w:themeColor="accent1" w:themeShade="BF"/>
          <w:lang w:val="it-IT"/>
        </w:rPr>
        <w:t>i</w:t>
      </w:r>
      <w:r w:rsidRPr="008A7488">
        <w:rPr>
          <w:color w:val="2F5496" w:themeColor="accent1" w:themeShade="BF"/>
          <w:lang w:val="it-IT"/>
        </w:rPr>
        <w:t xml:space="preserve"> 47,5 miliardi, </w:t>
      </w:r>
      <w:r w:rsidR="00E6207C">
        <w:rPr>
          <w:color w:val="2F5496" w:themeColor="accent1" w:themeShade="BF"/>
          <w:lang w:val="it-IT"/>
        </w:rPr>
        <w:t>risultato</w:t>
      </w:r>
      <w:r w:rsidRPr="008A7488">
        <w:rPr>
          <w:color w:val="2F5496" w:themeColor="accent1" w:themeShade="BF"/>
          <w:lang w:val="it-IT"/>
        </w:rPr>
        <w:t xml:space="preserve"> de</w:t>
      </w:r>
      <w:r w:rsidR="00E6207C">
        <w:rPr>
          <w:color w:val="2F5496" w:themeColor="accent1" w:themeShade="BF"/>
          <w:lang w:val="it-IT"/>
        </w:rPr>
        <w:t>lle perdite d</w:t>
      </w:r>
      <w:r w:rsidRPr="008A7488">
        <w:rPr>
          <w:color w:val="2F5496" w:themeColor="accent1" w:themeShade="BF"/>
          <w:lang w:val="it-IT"/>
        </w:rPr>
        <w:t>el 2021 e de</w:t>
      </w:r>
      <w:r w:rsidR="00E6207C">
        <w:rPr>
          <w:color w:val="2F5496" w:themeColor="accent1" w:themeShade="BF"/>
          <w:lang w:val="it-IT"/>
        </w:rPr>
        <w:t>l 2022</w:t>
      </w:r>
      <w:r w:rsidRPr="008A7488">
        <w:rPr>
          <w:color w:val="2F5496" w:themeColor="accent1" w:themeShade="BF"/>
          <w:lang w:val="it-IT"/>
        </w:rPr>
        <w:t xml:space="preserve"> </w:t>
      </w:r>
      <w:r w:rsidR="00E6207C">
        <w:rPr>
          <w:color w:val="2F5496" w:themeColor="accent1" w:themeShade="BF"/>
          <w:lang w:val="it-IT"/>
        </w:rPr>
        <w:t>(</w:t>
      </w:r>
      <w:r w:rsidRPr="008A7488">
        <w:rPr>
          <w:color w:val="2F5496" w:themeColor="accent1" w:themeShade="BF"/>
          <w:lang w:val="it-IT"/>
        </w:rPr>
        <w:t>22,3 miliardi previsti</w:t>
      </w:r>
      <w:r w:rsidR="00E6207C">
        <w:rPr>
          <w:color w:val="2F5496" w:themeColor="accent1" w:themeShade="BF"/>
          <w:lang w:val="it-IT"/>
        </w:rPr>
        <w:t>)</w:t>
      </w:r>
      <w:r w:rsidRPr="008A7488">
        <w:rPr>
          <w:color w:val="2F5496" w:themeColor="accent1" w:themeShade="BF"/>
          <w:lang w:val="it-IT"/>
        </w:rPr>
        <w:t xml:space="preserve">. Il motivo è legato all’elevato peso </w:t>
      </w:r>
      <w:proofErr w:type="spellStart"/>
      <w:r w:rsidRPr="008A7488">
        <w:rPr>
          <w:color w:val="2F5496" w:themeColor="accent1" w:themeShade="BF"/>
          <w:lang w:val="it-IT"/>
        </w:rPr>
        <w:t>dell’</w:t>
      </w:r>
      <w:r w:rsidRPr="00421689">
        <w:rPr>
          <w:i/>
          <w:iCs/>
          <w:color w:val="2F5496" w:themeColor="accent1" w:themeShade="BF"/>
          <w:lang w:val="it-IT"/>
        </w:rPr>
        <w:t>automotive</w:t>
      </w:r>
      <w:proofErr w:type="spellEnd"/>
      <w:r w:rsidRPr="008A7488">
        <w:rPr>
          <w:color w:val="2F5496" w:themeColor="accent1" w:themeShade="BF"/>
          <w:lang w:val="it-IT"/>
        </w:rPr>
        <w:t xml:space="preserve"> sul valore aggiunto dell’economia </w:t>
      </w:r>
      <w:r>
        <w:rPr>
          <w:color w:val="2F5496" w:themeColor="accent1" w:themeShade="BF"/>
          <w:lang w:val="it-IT"/>
        </w:rPr>
        <w:t>tedesca</w:t>
      </w:r>
      <w:r w:rsidRPr="008A7488">
        <w:rPr>
          <w:color w:val="2F5496" w:themeColor="accent1" w:themeShade="BF"/>
          <w:lang w:val="it-IT"/>
        </w:rPr>
        <w:t>. Lontane le altre grandi nazioni europee, con la Francia destinata a perdere 7,2 miliardi, il Regno Unito 6,8 miliardi, l’Italia 6,4 miliardi e la Spagna 6,3 miliardi</w:t>
      </w:r>
      <w:r w:rsidR="00E6207C">
        <w:rPr>
          <w:color w:val="2F5496" w:themeColor="accent1" w:themeShade="BF"/>
          <w:lang w:val="it-IT"/>
        </w:rPr>
        <w:t>.</w:t>
      </w:r>
    </w:p>
    <w:p w14:paraId="28245394" w14:textId="796B2F52" w:rsidR="00832F77" w:rsidRDefault="00832F77" w:rsidP="000C1F2E">
      <w:pPr>
        <w:jc w:val="both"/>
        <w:rPr>
          <w:color w:val="2F5496" w:themeColor="accent1" w:themeShade="BF"/>
          <w:lang w:val="it-IT"/>
        </w:rPr>
      </w:pPr>
      <w:r w:rsidRPr="00832F77">
        <w:rPr>
          <w:color w:val="2F5496" w:themeColor="accent1" w:themeShade="BF"/>
          <w:lang w:val="it-IT"/>
        </w:rPr>
        <w:lastRenderedPageBreak/>
        <w:t>Inoltre, esiste</w:t>
      </w:r>
      <w:r w:rsidR="000C1F2E" w:rsidRPr="00832F77">
        <w:rPr>
          <w:color w:val="2F5496" w:themeColor="accent1" w:themeShade="BF"/>
          <w:lang w:val="it-IT"/>
        </w:rPr>
        <w:t xml:space="preserve"> un aspetto ancor più preoccupante</w:t>
      </w:r>
      <w:r>
        <w:rPr>
          <w:color w:val="2F5496" w:themeColor="accent1" w:themeShade="BF"/>
          <w:lang w:val="it-IT"/>
        </w:rPr>
        <w:t xml:space="preserve">, ovvero, il fatto che la </w:t>
      </w:r>
      <w:r w:rsidR="000C1F2E" w:rsidRPr="00832F77">
        <w:rPr>
          <w:color w:val="2F5496" w:themeColor="accent1" w:themeShade="BF"/>
          <w:lang w:val="it-IT"/>
        </w:rPr>
        <w:t xml:space="preserve">produzione della maggior parte dei chip automobilistici si basa su tecnologie </w:t>
      </w:r>
      <w:r w:rsidR="00E6207C">
        <w:rPr>
          <w:color w:val="2F5496" w:themeColor="accent1" w:themeShade="BF"/>
          <w:lang w:val="it-IT"/>
        </w:rPr>
        <w:t>datate</w:t>
      </w:r>
      <w:r>
        <w:rPr>
          <w:color w:val="2F5496" w:themeColor="accent1" w:themeShade="BF"/>
          <w:lang w:val="it-IT"/>
        </w:rPr>
        <w:t xml:space="preserve"> (</w:t>
      </w:r>
      <w:r w:rsidR="00EB0433">
        <w:rPr>
          <w:color w:val="2F5496" w:themeColor="accent1" w:themeShade="BF"/>
          <w:lang w:val="it-IT"/>
        </w:rPr>
        <w:t>sfruttano</w:t>
      </w:r>
      <w:r w:rsidRPr="00832F77">
        <w:rPr>
          <w:color w:val="2F5496" w:themeColor="accent1" w:themeShade="BF"/>
          <w:lang w:val="it-IT"/>
        </w:rPr>
        <w:t xml:space="preserve"> soluzioni introdotte tra gli anni '90 e il primo decennio del nuovo secolo</w:t>
      </w:r>
      <w:r>
        <w:rPr>
          <w:color w:val="2F5496" w:themeColor="accent1" w:themeShade="BF"/>
          <w:lang w:val="it-IT"/>
        </w:rPr>
        <w:t>),</w:t>
      </w:r>
      <w:r w:rsidR="000C1F2E" w:rsidRPr="00832F77">
        <w:rPr>
          <w:color w:val="2F5496" w:themeColor="accent1" w:themeShade="BF"/>
          <w:lang w:val="it-IT"/>
        </w:rPr>
        <w:t xml:space="preserve"> </w:t>
      </w:r>
      <w:r>
        <w:rPr>
          <w:color w:val="2F5496" w:themeColor="accent1" w:themeShade="BF"/>
          <w:lang w:val="it-IT"/>
        </w:rPr>
        <w:t>a</w:t>
      </w:r>
      <w:r w:rsidR="000C1F2E" w:rsidRPr="00832F77">
        <w:rPr>
          <w:color w:val="2F5496" w:themeColor="accent1" w:themeShade="BF"/>
          <w:lang w:val="it-IT"/>
        </w:rPr>
        <w:t xml:space="preserve"> differenza dei chip di calcolo o di memoria di smartphone e computer, che utilizzano </w:t>
      </w:r>
      <w:r w:rsidR="00E6207C">
        <w:rPr>
          <w:color w:val="2F5496" w:themeColor="accent1" w:themeShade="BF"/>
          <w:lang w:val="it-IT"/>
        </w:rPr>
        <w:t>sistemi</w:t>
      </w:r>
      <w:r w:rsidR="000C1F2E" w:rsidRPr="00832F77">
        <w:rPr>
          <w:color w:val="2F5496" w:themeColor="accent1" w:themeShade="BF"/>
          <w:lang w:val="it-IT"/>
        </w:rPr>
        <w:t xml:space="preserve"> più all'avanguardia che si trovano solo a Taiwan e in Corea del Sud</w:t>
      </w:r>
      <w:r>
        <w:rPr>
          <w:color w:val="2F5496" w:themeColor="accent1" w:themeShade="BF"/>
          <w:lang w:val="it-IT"/>
        </w:rPr>
        <w:t>.</w:t>
      </w:r>
      <w:r w:rsidR="000C1F2E" w:rsidRPr="00832F77">
        <w:rPr>
          <w:color w:val="2F5496" w:themeColor="accent1" w:themeShade="BF"/>
          <w:lang w:val="it-IT"/>
        </w:rPr>
        <w:t xml:space="preserve"> </w:t>
      </w:r>
    </w:p>
    <w:p w14:paraId="42F9AAE1" w14:textId="7F1D43FD" w:rsidR="00832F77" w:rsidRDefault="00832F77" w:rsidP="000C1F2E">
      <w:pPr>
        <w:jc w:val="both"/>
        <w:rPr>
          <w:color w:val="2F5496" w:themeColor="accent1" w:themeShade="BF"/>
          <w:lang w:val="it-IT"/>
        </w:rPr>
      </w:pPr>
    </w:p>
    <w:p w14:paraId="4F9BC9E7" w14:textId="4383560A" w:rsidR="00832F77" w:rsidRPr="00832F77" w:rsidRDefault="00832F77" w:rsidP="00832F77">
      <w:pPr>
        <w:jc w:val="both"/>
        <w:rPr>
          <w:color w:val="2F5496" w:themeColor="accent1" w:themeShade="BF"/>
          <w:lang w:val="it-IT"/>
        </w:rPr>
      </w:pPr>
      <w:r>
        <w:rPr>
          <w:color w:val="2F5496" w:themeColor="accent1" w:themeShade="BF"/>
          <w:lang w:val="it-IT"/>
        </w:rPr>
        <w:t>A questo punto l</w:t>
      </w:r>
      <w:r w:rsidR="0011757D">
        <w:rPr>
          <w:color w:val="2F5496" w:themeColor="accent1" w:themeShade="BF"/>
          <w:lang w:val="it-IT"/>
        </w:rPr>
        <w:t>e</w:t>
      </w:r>
      <w:r>
        <w:rPr>
          <w:color w:val="2F5496" w:themeColor="accent1" w:themeShade="BF"/>
          <w:lang w:val="it-IT"/>
        </w:rPr>
        <w:t xml:space="preserve"> politic</w:t>
      </w:r>
      <w:r w:rsidR="0011757D">
        <w:rPr>
          <w:color w:val="2F5496" w:themeColor="accent1" w:themeShade="BF"/>
          <w:lang w:val="it-IT"/>
        </w:rPr>
        <w:t xml:space="preserve">he economiche dei Paesi a sostegno del comparto </w:t>
      </w:r>
      <w:r>
        <w:rPr>
          <w:color w:val="2F5496" w:themeColor="accent1" w:themeShade="BF"/>
          <w:lang w:val="it-IT"/>
        </w:rPr>
        <w:t xml:space="preserve">dovrebbe </w:t>
      </w:r>
      <w:r w:rsidR="0011757D">
        <w:rPr>
          <w:color w:val="2F5496" w:themeColor="accent1" w:themeShade="BF"/>
          <w:lang w:val="it-IT"/>
        </w:rPr>
        <w:t xml:space="preserve">intervenire </w:t>
      </w:r>
      <w:r w:rsidRPr="00832F77">
        <w:rPr>
          <w:color w:val="2F5496" w:themeColor="accent1" w:themeShade="BF"/>
          <w:lang w:val="it-IT"/>
        </w:rPr>
        <w:t>tenendo presente quanto segue:</w:t>
      </w:r>
    </w:p>
    <w:p w14:paraId="269D83CD" w14:textId="77777777" w:rsidR="00832F77" w:rsidRPr="00832F77" w:rsidRDefault="00832F77" w:rsidP="00832F77">
      <w:pPr>
        <w:jc w:val="both"/>
        <w:rPr>
          <w:color w:val="2F5496" w:themeColor="accent1" w:themeShade="BF"/>
          <w:lang w:val="it-IT"/>
        </w:rPr>
      </w:pPr>
    </w:p>
    <w:p w14:paraId="03D623FF" w14:textId="77777777" w:rsidR="00832F77" w:rsidRPr="00832F77" w:rsidRDefault="00832F77" w:rsidP="00832F77">
      <w:pPr>
        <w:jc w:val="both"/>
        <w:rPr>
          <w:color w:val="2F5496" w:themeColor="accent1" w:themeShade="BF"/>
          <w:lang w:val="it-IT"/>
        </w:rPr>
      </w:pPr>
      <w:r w:rsidRPr="00832F77">
        <w:rPr>
          <w:color w:val="2F5496" w:themeColor="accent1" w:themeShade="BF"/>
          <w:lang w:val="it-IT"/>
        </w:rPr>
        <w:t>• Il sostegno dovrebbe concentrarsi sui segmenti in cui l'Europa è sia un grande mercato di produzione che un mercato finale, cioè il settore automobilistico e non l'elettronica di consumo.</w:t>
      </w:r>
    </w:p>
    <w:p w14:paraId="492F9CEB" w14:textId="77777777" w:rsidR="00832F77" w:rsidRPr="00832F77" w:rsidRDefault="00832F77" w:rsidP="00832F77">
      <w:pPr>
        <w:jc w:val="both"/>
        <w:rPr>
          <w:color w:val="2F5496" w:themeColor="accent1" w:themeShade="BF"/>
          <w:lang w:val="it-IT"/>
        </w:rPr>
      </w:pPr>
      <w:r w:rsidRPr="00832F77">
        <w:rPr>
          <w:color w:val="2F5496" w:themeColor="accent1" w:themeShade="BF"/>
          <w:lang w:val="it-IT"/>
        </w:rPr>
        <w:t xml:space="preserve"> </w:t>
      </w:r>
    </w:p>
    <w:p w14:paraId="42A3AE73" w14:textId="09687059" w:rsidR="00832F77" w:rsidRPr="00832F77" w:rsidRDefault="00832F77" w:rsidP="00832F77">
      <w:pPr>
        <w:jc w:val="both"/>
        <w:rPr>
          <w:color w:val="2F5496" w:themeColor="accent1" w:themeShade="BF"/>
          <w:lang w:val="it-IT"/>
        </w:rPr>
      </w:pPr>
      <w:r w:rsidRPr="00832F77">
        <w:rPr>
          <w:color w:val="2F5496" w:themeColor="accent1" w:themeShade="BF"/>
          <w:lang w:val="it-IT"/>
        </w:rPr>
        <w:t xml:space="preserve">• </w:t>
      </w:r>
      <w:r w:rsidR="006E294F">
        <w:rPr>
          <w:color w:val="2F5496" w:themeColor="accent1" w:themeShade="BF"/>
          <w:lang w:val="it-IT"/>
        </w:rPr>
        <w:t>P</w:t>
      </w:r>
      <w:r w:rsidRPr="00832F77">
        <w:rPr>
          <w:color w:val="2F5496" w:themeColor="accent1" w:themeShade="BF"/>
          <w:lang w:val="it-IT"/>
        </w:rPr>
        <w:t xml:space="preserve">er far crescere l’impronta produttiva di semiconduttori industriali e automobilistici sono necessari incentivi naturali ed economicamente sostenibili. L'Europa ospita tre dei maggiori produttori di semiconduttori per auto/industriali del mondo, la cui produzione è un mix di outsourcing (in Asia) e fabbricazione interna, spesso europea. I politici </w:t>
      </w:r>
      <w:r w:rsidR="0011757D">
        <w:rPr>
          <w:color w:val="2F5496" w:themeColor="accent1" w:themeShade="BF"/>
          <w:lang w:val="it-IT"/>
        </w:rPr>
        <w:t>dovrebbero</w:t>
      </w:r>
      <w:r w:rsidRPr="00832F77">
        <w:rPr>
          <w:color w:val="2F5496" w:themeColor="accent1" w:themeShade="BF"/>
          <w:lang w:val="it-IT"/>
        </w:rPr>
        <w:t xml:space="preserve"> inclinare la bilancia nella giusta direzione, affinché abbia più valore investire localmente che esternalizzare in Asia.</w:t>
      </w:r>
    </w:p>
    <w:p w14:paraId="1C684BC5" w14:textId="77777777" w:rsidR="00832F77" w:rsidRPr="00832F77" w:rsidRDefault="00832F77" w:rsidP="00832F77">
      <w:pPr>
        <w:jc w:val="both"/>
        <w:rPr>
          <w:color w:val="2F5496" w:themeColor="accent1" w:themeShade="BF"/>
          <w:lang w:val="it-IT"/>
        </w:rPr>
      </w:pPr>
    </w:p>
    <w:p w14:paraId="20C64157" w14:textId="06AAC08E" w:rsidR="00832F77" w:rsidRDefault="00832F77" w:rsidP="00832F77">
      <w:pPr>
        <w:jc w:val="both"/>
        <w:rPr>
          <w:color w:val="2F5496" w:themeColor="accent1" w:themeShade="BF"/>
          <w:lang w:val="it-IT"/>
        </w:rPr>
      </w:pPr>
      <w:r w:rsidRPr="00832F77">
        <w:rPr>
          <w:color w:val="2F5496" w:themeColor="accent1" w:themeShade="BF"/>
          <w:lang w:val="it-IT"/>
        </w:rPr>
        <w:t xml:space="preserve">• Gli attuali piani per allargare la produzione di semiconduttori in Europa non serviranno a risolvere il problema del Vecchio Continente ma l'inizio di nuove joint-venture è un passo </w:t>
      </w:r>
      <w:r w:rsidR="006E294F">
        <w:rPr>
          <w:color w:val="2F5496" w:themeColor="accent1" w:themeShade="BF"/>
          <w:lang w:val="it-IT"/>
        </w:rPr>
        <w:t xml:space="preserve">importante e </w:t>
      </w:r>
      <w:r w:rsidRPr="00832F77">
        <w:rPr>
          <w:color w:val="2F5496" w:themeColor="accent1" w:themeShade="BF"/>
          <w:lang w:val="it-IT"/>
        </w:rPr>
        <w:t>nella giusta direzione.</w:t>
      </w:r>
    </w:p>
    <w:p w14:paraId="69610D0F" w14:textId="77777777" w:rsidR="000C1F2E" w:rsidRPr="000C1F2E" w:rsidRDefault="000C1F2E" w:rsidP="000C1F2E">
      <w:pPr>
        <w:jc w:val="both"/>
        <w:rPr>
          <w:b/>
          <w:bCs/>
          <w:color w:val="2F5496" w:themeColor="accent1" w:themeShade="BF"/>
          <w:lang w:val="it-IT"/>
        </w:rPr>
      </w:pPr>
    </w:p>
    <w:p w14:paraId="6BB96F52" w14:textId="2F06DF37" w:rsidR="004F6DBB" w:rsidRDefault="003114A9" w:rsidP="003114A9">
      <w:pPr>
        <w:jc w:val="both"/>
        <w:rPr>
          <w:b/>
          <w:bCs/>
          <w:lang w:val="it-IT"/>
        </w:rPr>
      </w:pPr>
      <w:r w:rsidRPr="003114A9">
        <w:rPr>
          <w:lang w:val="it-IT"/>
        </w:rPr>
        <w:t> </w:t>
      </w:r>
    </w:p>
    <w:p w14:paraId="7FDAB891" w14:textId="77777777" w:rsidR="004F6DBB" w:rsidRPr="0034499E" w:rsidRDefault="004F6DBB" w:rsidP="00C42E19">
      <w:pPr>
        <w:jc w:val="both"/>
        <w:rPr>
          <w:lang w:val="it-IT"/>
        </w:rPr>
      </w:pPr>
    </w:p>
    <w:tbl>
      <w:tblPr>
        <w:tblW w:w="0" w:type="auto"/>
        <w:tblBorders>
          <w:top w:val="single" w:sz="4" w:space="0" w:color="003781"/>
          <w:bottom w:val="single" w:sz="4" w:space="0" w:color="003781"/>
        </w:tblBorders>
        <w:tblCellMar>
          <w:top w:w="312" w:type="dxa"/>
          <w:left w:w="0" w:type="dxa"/>
          <w:bottom w:w="312" w:type="dxa"/>
          <w:right w:w="0" w:type="dxa"/>
        </w:tblCellMar>
        <w:tblLook w:val="0600" w:firstRow="0" w:lastRow="0" w:firstColumn="0" w:lastColumn="0" w:noHBand="1" w:noVBand="1"/>
      </w:tblPr>
      <w:tblGrid>
        <w:gridCol w:w="4395"/>
        <w:gridCol w:w="4184"/>
      </w:tblGrid>
      <w:tr w:rsidR="00320983" w:rsidRPr="0034499E" w14:paraId="288956F7" w14:textId="77777777" w:rsidTr="00806B20">
        <w:tc>
          <w:tcPr>
            <w:tcW w:w="4395" w:type="dxa"/>
            <w:tcBorders>
              <w:top w:val="single" w:sz="4" w:space="0" w:color="003781"/>
              <w:left w:val="nil"/>
              <w:bottom w:val="single" w:sz="4" w:space="0" w:color="003781"/>
              <w:right w:val="nil"/>
            </w:tcBorders>
          </w:tcPr>
          <w:p w14:paraId="147803AE" w14:textId="77777777" w:rsidR="00D5104E" w:rsidRPr="0034499E" w:rsidRDefault="00D5104E" w:rsidP="00D5104E">
            <w:pPr>
              <w:autoSpaceDE w:val="0"/>
              <w:autoSpaceDN w:val="0"/>
              <w:adjustRightInd w:val="0"/>
              <w:spacing w:line="240" w:lineRule="auto"/>
              <w:rPr>
                <w:rFonts w:ascii="AllianzNeo,Bold" w:hAnsi="AllianzNeo,Bold" w:cs="AllianzNeo,Bold"/>
                <w:b/>
                <w:bCs/>
                <w:color w:val="003782"/>
                <w:szCs w:val="20"/>
                <w:lang w:val="en-US" w:eastAsia="de-DE"/>
              </w:rPr>
            </w:pPr>
            <w:r w:rsidRPr="0034499E">
              <w:rPr>
                <w:rFonts w:ascii="AllianzNeo,Bold" w:hAnsi="AllianzNeo,Bold" w:cs="AllianzNeo,Bold"/>
                <w:b/>
                <w:bCs/>
                <w:color w:val="003782"/>
                <w:szCs w:val="20"/>
                <w:lang w:val="en-US" w:eastAsia="de-DE"/>
              </w:rPr>
              <w:t>Press Way per Allianz Trade MMEA</w:t>
            </w:r>
          </w:p>
          <w:p w14:paraId="5B31F3F0" w14:textId="77777777" w:rsidR="00D5104E" w:rsidRPr="0034499E" w:rsidRDefault="00D5104E" w:rsidP="00D5104E">
            <w:pPr>
              <w:autoSpaceDE w:val="0"/>
              <w:autoSpaceDN w:val="0"/>
              <w:adjustRightInd w:val="0"/>
              <w:spacing w:line="240" w:lineRule="auto"/>
              <w:rPr>
                <w:rFonts w:ascii="AllianzNeo" w:hAnsi="AllianzNeo" w:cs="AllianzNeo"/>
                <w:color w:val="003782"/>
                <w:szCs w:val="20"/>
                <w:lang w:val="it-IT" w:eastAsia="de-DE"/>
              </w:rPr>
            </w:pPr>
            <w:r w:rsidRPr="0034499E">
              <w:rPr>
                <w:rFonts w:ascii="AllianzNeo" w:hAnsi="AllianzNeo" w:cs="AllianzNeo"/>
                <w:color w:val="003782"/>
                <w:szCs w:val="20"/>
                <w:lang w:val="it-IT" w:eastAsia="de-DE"/>
              </w:rPr>
              <w:t>Tiziano Pandolfi</w:t>
            </w:r>
          </w:p>
          <w:p w14:paraId="06A76598" w14:textId="72A1D0F2" w:rsidR="00D5104E" w:rsidRPr="0034499E" w:rsidRDefault="00D5104E" w:rsidP="00D5104E">
            <w:pPr>
              <w:autoSpaceDE w:val="0"/>
              <w:autoSpaceDN w:val="0"/>
              <w:adjustRightInd w:val="0"/>
              <w:spacing w:line="240" w:lineRule="auto"/>
              <w:rPr>
                <w:rFonts w:ascii="AllianzNeo" w:hAnsi="AllianzNeo" w:cs="AllianzNeo"/>
                <w:color w:val="003782"/>
                <w:szCs w:val="20"/>
                <w:lang w:val="it-IT" w:eastAsia="de-DE"/>
              </w:rPr>
            </w:pPr>
            <w:r w:rsidRPr="0034499E">
              <w:rPr>
                <w:rFonts w:ascii="AllianzNeo" w:hAnsi="AllianzNeo" w:cs="AllianzNeo"/>
                <w:color w:val="003782"/>
                <w:szCs w:val="20"/>
                <w:lang w:val="it-IT" w:eastAsia="de-DE"/>
              </w:rPr>
              <w:t xml:space="preserve">+39 338 6820776 </w:t>
            </w:r>
            <w:r w:rsidRPr="0034499E">
              <w:rPr>
                <w:rFonts w:ascii="AllianzNeo" w:hAnsi="AllianzNeo" w:cs="AllianzNeo"/>
                <w:color w:val="0563C2"/>
                <w:szCs w:val="20"/>
                <w:lang w:val="it-IT" w:eastAsia="de-DE"/>
              </w:rPr>
              <w:t>Tiziano.pandolfi@pressway.it</w:t>
            </w:r>
          </w:p>
          <w:p w14:paraId="50E401DB" w14:textId="77777777" w:rsidR="00B17C4C" w:rsidRPr="0034499E" w:rsidRDefault="00B17C4C" w:rsidP="00D5104E">
            <w:pPr>
              <w:autoSpaceDE w:val="0"/>
              <w:autoSpaceDN w:val="0"/>
              <w:adjustRightInd w:val="0"/>
              <w:spacing w:line="240" w:lineRule="auto"/>
              <w:rPr>
                <w:rFonts w:ascii="AllianzNeo,Bold" w:hAnsi="AllianzNeo,Bold" w:cs="AllianzNeo,Bold"/>
                <w:b/>
                <w:bCs/>
                <w:color w:val="003782"/>
                <w:szCs w:val="20"/>
                <w:lang w:val="it-IT" w:eastAsia="de-DE"/>
              </w:rPr>
            </w:pPr>
          </w:p>
          <w:p w14:paraId="62D5F7FA" w14:textId="5F0B55B6" w:rsidR="00D5104E" w:rsidRPr="0034499E" w:rsidRDefault="00D5104E" w:rsidP="00D5104E">
            <w:pPr>
              <w:autoSpaceDE w:val="0"/>
              <w:autoSpaceDN w:val="0"/>
              <w:adjustRightInd w:val="0"/>
              <w:spacing w:line="240" w:lineRule="auto"/>
              <w:rPr>
                <w:rFonts w:ascii="AllianzNeo,Bold" w:hAnsi="AllianzNeo,Bold" w:cs="AllianzNeo,Bold"/>
                <w:b/>
                <w:bCs/>
                <w:color w:val="003782"/>
                <w:szCs w:val="20"/>
                <w:lang w:val="it-IT" w:eastAsia="de-DE"/>
              </w:rPr>
            </w:pPr>
            <w:r w:rsidRPr="0034499E">
              <w:rPr>
                <w:rFonts w:ascii="AllianzNeo,Bold" w:hAnsi="AllianzNeo,Bold" w:cs="AllianzNeo,Bold"/>
                <w:b/>
                <w:bCs/>
                <w:color w:val="003782"/>
                <w:szCs w:val="20"/>
                <w:lang w:val="it-IT" w:eastAsia="de-DE"/>
              </w:rPr>
              <w:t>Allianz Trade MMEA</w:t>
            </w:r>
          </w:p>
          <w:p w14:paraId="45971028" w14:textId="77777777" w:rsidR="00D5104E" w:rsidRPr="0034499E" w:rsidRDefault="00D5104E" w:rsidP="00D5104E">
            <w:pPr>
              <w:autoSpaceDE w:val="0"/>
              <w:autoSpaceDN w:val="0"/>
              <w:adjustRightInd w:val="0"/>
              <w:spacing w:line="240" w:lineRule="auto"/>
              <w:rPr>
                <w:rFonts w:ascii="AllianzNeo" w:hAnsi="AllianzNeo" w:cs="AllianzNeo"/>
                <w:color w:val="003782"/>
                <w:szCs w:val="20"/>
                <w:lang w:val="it-IT" w:eastAsia="de-DE"/>
              </w:rPr>
            </w:pPr>
            <w:r w:rsidRPr="0034499E">
              <w:rPr>
                <w:rFonts w:ascii="AllianzNeo" w:hAnsi="AllianzNeo" w:cs="AllianzNeo"/>
                <w:color w:val="003782"/>
                <w:szCs w:val="20"/>
                <w:lang w:val="it-IT" w:eastAsia="de-DE"/>
              </w:rPr>
              <w:t>Guglielmo Santella</w:t>
            </w:r>
          </w:p>
          <w:p w14:paraId="55A04B01" w14:textId="0CD23D43" w:rsidR="00D5104E" w:rsidRPr="0034499E" w:rsidRDefault="00D5104E" w:rsidP="00D5104E">
            <w:pPr>
              <w:autoSpaceDE w:val="0"/>
              <w:autoSpaceDN w:val="0"/>
              <w:adjustRightInd w:val="0"/>
              <w:spacing w:line="240" w:lineRule="auto"/>
              <w:rPr>
                <w:rFonts w:ascii="AllianzNeo" w:hAnsi="AllianzNeo" w:cs="AllianzNeo"/>
                <w:color w:val="003782"/>
                <w:szCs w:val="20"/>
                <w:lang w:val="it-IT" w:eastAsia="de-DE"/>
              </w:rPr>
            </w:pPr>
            <w:r w:rsidRPr="0034499E">
              <w:rPr>
                <w:rFonts w:ascii="AllianzNeo" w:hAnsi="AllianzNeo" w:cs="AllianzNeo"/>
                <w:color w:val="003782"/>
                <w:szCs w:val="20"/>
                <w:lang w:val="it-IT" w:eastAsia="de-DE"/>
              </w:rPr>
              <w:t xml:space="preserve">+39 335 8496775 </w:t>
            </w:r>
            <w:r w:rsidRPr="0034499E">
              <w:rPr>
                <w:rFonts w:ascii="AllianzNeo" w:hAnsi="AllianzNeo" w:cs="AllianzNeo"/>
                <w:color w:val="0563C2"/>
                <w:szCs w:val="20"/>
                <w:lang w:val="it-IT" w:eastAsia="de-DE"/>
              </w:rPr>
              <w:t>guglielmo.santella@allianztrade.com</w:t>
            </w:r>
          </w:p>
          <w:p w14:paraId="65A84CCF" w14:textId="77777777" w:rsidR="00D5104E" w:rsidRPr="0034499E" w:rsidRDefault="00D5104E" w:rsidP="00D5104E">
            <w:pPr>
              <w:autoSpaceDE w:val="0"/>
              <w:autoSpaceDN w:val="0"/>
              <w:adjustRightInd w:val="0"/>
              <w:spacing w:line="240" w:lineRule="auto"/>
              <w:rPr>
                <w:rFonts w:ascii="AllianzNeo,Bold" w:hAnsi="AllianzNeo,Bold" w:cs="AllianzNeo,Bold"/>
                <w:b/>
                <w:bCs/>
                <w:color w:val="003782"/>
                <w:szCs w:val="20"/>
                <w:lang w:val="it-IT" w:eastAsia="de-DE"/>
              </w:rPr>
            </w:pPr>
          </w:p>
          <w:p w14:paraId="04978ADA" w14:textId="77777777" w:rsidR="00D5104E" w:rsidRPr="0034499E" w:rsidRDefault="00D5104E" w:rsidP="00D5104E">
            <w:pPr>
              <w:autoSpaceDE w:val="0"/>
              <w:autoSpaceDN w:val="0"/>
              <w:adjustRightInd w:val="0"/>
              <w:spacing w:line="240" w:lineRule="auto"/>
              <w:rPr>
                <w:rFonts w:ascii="AllianzNeo,Bold" w:hAnsi="AllianzNeo,Bold" w:cs="AllianzNeo,Bold"/>
                <w:b/>
                <w:bCs/>
                <w:color w:val="003782"/>
                <w:szCs w:val="20"/>
                <w:lang w:val="en-US" w:eastAsia="de-DE"/>
              </w:rPr>
            </w:pPr>
            <w:r w:rsidRPr="0034499E">
              <w:rPr>
                <w:rFonts w:ascii="AllianzNeo,Bold" w:hAnsi="AllianzNeo,Bold" w:cs="AllianzNeo,Bold"/>
                <w:b/>
                <w:bCs/>
                <w:color w:val="003782"/>
                <w:szCs w:val="20"/>
                <w:lang w:val="en-US" w:eastAsia="de-DE"/>
              </w:rPr>
              <w:t>Follow us</w:t>
            </w:r>
          </w:p>
          <w:p w14:paraId="606BE095" w14:textId="4B906B5C" w:rsidR="00320983" w:rsidRPr="00FC5107" w:rsidRDefault="00FC5107" w:rsidP="00D5104E">
            <w:pPr>
              <w:spacing w:line="240" w:lineRule="auto"/>
              <w:jc w:val="both"/>
              <w:rPr>
                <w:rFonts w:ascii="AllianzNeo" w:hAnsi="AllianzNeo" w:cs="AllianzNeo"/>
                <w:color w:val="0563C2"/>
                <w:szCs w:val="20"/>
                <w:lang w:val="en-US" w:eastAsia="de-DE"/>
              </w:rPr>
            </w:pPr>
            <w:hyperlink r:id="rId9" w:history="1">
              <w:r w:rsidRPr="00C33CA0">
                <w:rPr>
                  <w:rStyle w:val="Collegamentoipertestuale"/>
                  <w:rFonts w:ascii="AllianzNeo" w:hAnsi="AllianzNeo" w:cs="AllianzNeo"/>
                  <w:szCs w:val="20"/>
                  <w:lang w:val="en-US" w:eastAsia="de-DE"/>
                </w:rPr>
                <w:t>https://www.linkedin.com/company/allianz-trade-italia/</w:t>
              </w:r>
            </w:hyperlink>
          </w:p>
        </w:tc>
        <w:tc>
          <w:tcPr>
            <w:tcW w:w="4184" w:type="dxa"/>
            <w:tcBorders>
              <w:top w:val="single" w:sz="4" w:space="0" w:color="003781"/>
              <w:left w:val="nil"/>
              <w:bottom w:val="single" w:sz="4" w:space="0" w:color="003781"/>
              <w:right w:val="nil"/>
            </w:tcBorders>
          </w:tcPr>
          <w:p w14:paraId="25938CB2" w14:textId="77777777" w:rsidR="00320983" w:rsidRPr="0034499E" w:rsidRDefault="00320983">
            <w:pPr>
              <w:rPr>
                <w:color w:val="003781"/>
                <w:lang w:val="fr-FR"/>
              </w:rPr>
            </w:pPr>
          </w:p>
        </w:tc>
      </w:tr>
    </w:tbl>
    <w:p w14:paraId="37DA1474" w14:textId="77777777" w:rsidR="002638A7" w:rsidRPr="0034499E" w:rsidRDefault="002638A7" w:rsidP="002638A7">
      <w:pPr>
        <w:pStyle w:val="Titolo2"/>
        <w:jc w:val="both"/>
        <w:rPr>
          <w:sz w:val="18"/>
          <w:lang w:val="it-IT"/>
        </w:rPr>
      </w:pPr>
      <w:r w:rsidRPr="0034499E">
        <w:rPr>
          <w:sz w:val="18"/>
          <w:lang w:val="it-IT"/>
        </w:rPr>
        <w:t xml:space="preserve">Prevediamo il rischio commerciale e creditizio oggi, perché le imprese abbiano fiducia nel domani </w:t>
      </w:r>
    </w:p>
    <w:p w14:paraId="444F6DFF" w14:textId="0ED8376F" w:rsidR="002638A7" w:rsidRPr="0034499E" w:rsidRDefault="002638A7" w:rsidP="002638A7">
      <w:pPr>
        <w:spacing w:line="240" w:lineRule="auto"/>
        <w:jc w:val="both"/>
        <w:rPr>
          <w:sz w:val="18"/>
          <w:lang w:val="it-IT"/>
        </w:rPr>
      </w:pPr>
      <w:r w:rsidRPr="0034499E">
        <w:rPr>
          <w:sz w:val="18"/>
          <w:lang w:val="it-IT"/>
        </w:rPr>
        <w:t xml:space="preserve">Allianz Trade è il </w:t>
      </w:r>
      <w:proofErr w:type="spellStart"/>
      <w:r w:rsidRPr="0034499E">
        <w:rPr>
          <w:sz w:val="18"/>
          <w:lang w:val="it-IT"/>
        </w:rPr>
        <w:t>Ieader</w:t>
      </w:r>
      <w:proofErr w:type="spellEnd"/>
      <w:r w:rsidRPr="0034499E">
        <w:rPr>
          <w:sz w:val="18"/>
          <w:lang w:val="it-IT"/>
        </w:rPr>
        <w:t xml:space="preserve"> mondiale dell’assicurazione crediti, specializzato in cauzioni, recuperi, credito commerciale strutturato e rischio politico. La nostra rete di intelligence proprietaria analizza quotidianamente i cambiamenti nella solvibilità di +80 milioni di aziende. Offriamo alle imprese la garanzia di operare con sicurezza e di ottenere il pagamento dei propri crediti. Indennizziamo i crediti inesigibili, ma soprattutto assistiamo i clienti ad evitare operazioni dall’esito incerto. Ogni volta che stipuliamo una polizza di assicurazione crediti o altre soluzioni finanziarie, la nostra priorità è la protezione predittiva, ma in caso di sinistro, il nostro rating AA testimonia la solidità delle risorse che </w:t>
      </w:r>
      <w:proofErr w:type="gramStart"/>
      <w:r w:rsidRPr="0034499E">
        <w:rPr>
          <w:sz w:val="18"/>
          <w:lang w:val="it-IT"/>
        </w:rPr>
        <w:t>mettiamo in campo</w:t>
      </w:r>
      <w:proofErr w:type="gramEnd"/>
      <w:r w:rsidRPr="0034499E">
        <w:rPr>
          <w:sz w:val="18"/>
          <w:lang w:val="it-IT"/>
        </w:rPr>
        <w:t xml:space="preserve"> con il sostegno del Gruppo Allianz per garantire l’indennizzo dei nostri clienti. Allianz Trade, con sede a Parigi, è presente in oltre 52 Paesi</w:t>
      </w:r>
      <w:r w:rsidR="00DC7110" w:rsidRPr="0034499E">
        <w:rPr>
          <w:sz w:val="18"/>
          <w:lang w:val="it-IT"/>
        </w:rPr>
        <w:t xml:space="preserve"> con 5500 collaboratori. Nel 202</w:t>
      </w:r>
      <w:r w:rsidRPr="0034499E">
        <w:rPr>
          <w:sz w:val="18"/>
          <w:lang w:val="it-IT"/>
        </w:rPr>
        <w:t>1 ha raggiunto un giro d’affari consolidato di 2,9 miliardi di euro e ha coperto transazioni commerciali per un ammontare totale di 931 miliardi di euro.</w:t>
      </w:r>
    </w:p>
    <w:p w14:paraId="700CA2D6" w14:textId="6B8BC254" w:rsidR="002638A7" w:rsidRPr="006E294F" w:rsidRDefault="002638A7" w:rsidP="00C42E19">
      <w:pPr>
        <w:jc w:val="both"/>
        <w:rPr>
          <w:sz w:val="18"/>
          <w:lang w:val="it-IT"/>
        </w:rPr>
      </w:pPr>
      <w:r w:rsidRPr="0034499E">
        <w:rPr>
          <w:color w:val="003781"/>
          <w:sz w:val="18"/>
          <w:lang w:val="it-IT"/>
        </w:rPr>
        <w:t xml:space="preserve">Per maggiori informazioni, visitare il sito </w:t>
      </w:r>
      <w:r w:rsidRPr="0034499E">
        <w:rPr>
          <w:color w:val="003781"/>
          <w:sz w:val="18"/>
          <w:u w:val="single"/>
          <w:lang w:val="it-IT"/>
        </w:rPr>
        <w:t>allianz-trade.</w:t>
      </w:r>
      <w:r w:rsidR="00FC5107">
        <w:rPr>
          <w:color w:val="003781"/>
          <w:sz w:val="18"/>
          <w:u w:val="single"/>
          <w:lang w:val="it-IT"/>
        </w:rPr>
        <w:t>it</w:t>
      </w:r>
    </w:p>
    <w:p w14:paraId="2FCFDF0F" w14:textId="77777777" w:rsidR="002638A7" w:rsidRPr="0034499E" w:rsidRDefault="002638A7" w:rsidP="002638A7">
      <w:pPr>
        <w:pStyle w:val="AZ-PHeadlineLevel2Small"/>
        <w:rPr>
          <w:lang w:val="it-IT"/>
        </w:rPr>
      </w:pPr>
      <w:r w:rsidRPr="0034499E">
        <w:rPr>
          <w:lang w:val="it-IT"/>
        </w:rPr>
        <w:lastRenderedPageBreak/>
        <w:t xml:space="preserve">Nota cautelativa sulle dichiarazioni previsionali </w:t>
      </w:r>
    </w:p>
    <w:p w14:paraId="3D086E58" w14:textId="1D80B2A2" w:rsidR="002638A7" w:rsidRPr="00D5104E" w:rsidRDefault="002638A7" w:rsidP="00D5104E">
      <w:pPr>
        <w:pStyle w:val="AZ-PSmall"/>
        <w:jc w:val="both"/>
        <w:rPr>
          <w:rFonts w:ascii="Arial" w:eastAsia="Times New Roman" w:hAnsi="Arial" w:cs="Arial"/>
          <w:color w:val="7F7F7F" w:themeColor="text1" w:themeTint="80"/>
          <w:szCs w:val="16"/>
          <w:lang w:val="it-IT"/>
        </w:rPr>
      </w:pPr>
      <w:r w:rsidRPr="0034499E">
        <w:rPr>
          <w:rFonts w:ascii="Arial" w:eastAsia="Times New Roman" w:hAnsi="Arial" w:cs="Arial"/>
          <w:color w:val="7F7F7F" w:themeColor="text1" w:themeTint="80"/>
          <w:szCs w:val="16"/>
          <w:lang w:val="it-IT"/>
        </w:rPr>
        <w:t>Le asserzioni qui contenute possono essere di natura previsionale e fondate su ipotesi e opinioni correnti del management. Implicano rischi e incertezze più o meno noti, che potrebbero far sì che i risultati, rendimenti o eventi citati, esplicitamente o implicitamente, differiscano in maniera sostanziale da quelli effettivi. Tali differenze possono essere dovute per esempio a (I) cambiamenti delle condizioni economiche generali e della situazione competitiva, in particolare nel core business e nei mercati principali del Gruppo Allianz, (II) rendimento dei mercati finanziari (in particolare volatilità del mercato, liquidità ed eventi creditizi), (III) frequenza e gravità delle perdite assicurate, incluse quelle derivanti da catastrofi naturali, e lo sviluppo delle relative spese, (IV) livelli e tendenze di mortalità e morbilità, (V) livelli di persistenza, (VI) entità dei casi di insolvenza, soprattutto nel settore bancario, (VII) evoluzione dei tassi d'interesse, (VIII) tassi di cambio segnatamente tra Euro e Dollaro USA, (IX) cambiamenti delle leggi e dei regolamenti, inclusi i regolamenti fiscali, (X) impatto delle acquisizioni, con i problemi di integrazione e le misure di riorganizzazione, e (XI) fattori legati alla concorrenza in generale, sia su scala locale che regionale, nazionale e/o globale. Molti di questi fattori possono essere più probabili o più marcati per effetto di attività terroristiche e</w:t>
      </w:r>
      <w:r>
        <w:rPr>
          <w:rFonts w:ascii="Arial" w:eastAsia="Times New Roman" w:hAnsi="Arial" w:cs="Arial"/>
          <w:color w:val="7F7F7F" w:themeColor="text1" w:themeTint="80"/>
          <w:szCs w:val="16"/>
          <w:lang w:val="it-IT"/>
        </w:rPr>
        <w:t xml:space="preserve"> delle loro conseguenze.</w:t>
      </w:r>
    </w:p>
    <w:sectPr w:rsidR="002638A7" w:rsidRPr="00D5104E" w:rsidSect="005D10A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495" w:right="765" w:bottom="1418" w:left="2552" w:header="709" w:footer="737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77E7" w14:textId="77777777" w:rsidR="00821BBC" w:rsidRDefault="00821BBC" w:rsidP="009F69DD">
      <w:r>
        <w:separator/>
      </w:r>
    </w:p>
  </w:endnote>
  <w:endnote w:type="continuationSeparator" w:id="0">
    <w:p w14:paraId="744B915D" w14:textId="77777777" w:rsidR="00821BBC" w:rsidRDefault="00821BBC" w:rsidP="009F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lianz Neo">
    <w:altName w:val="Calibri"/>
    <w:panose1 w:val="020B0604020202020204"/>
    <w:charset w:val="00"/>
    <w:family w:val="swiss"/>
    <w:pitch w:val="variable"/>
    <w:sig w:usb0="A000006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llianz Neo SemiBold">
    <w:altName w:val="Arial"/>
    <w:panose1 w:val="020B0604020202020204"/>
    <w:charset w:val="00"/>
    <w:family w:val="swiss"/>
    <w:pitch w:val="variable"/>
    <w:sig w:usb0="A000006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llianzNeo,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llianzNeo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D741" w14:textId="245C733E" w:rsidR="00586F52" w:rsidRDefault="00D5104E">
    <w:pPr>
      <w:pStyle w:val="Pidipagina"/>
    </w:pPr>
    <w:r w:rsidRPr="00023F50">
      <w:rPr>
        <w:lang w:val="it-IT"/>
      </w:rPr>
      <w:t xml:space="preserve">Allianz Trade è il marchio utilizzato per </w:t>
    </w:r>
    <w:r>
      <w:rPr>
        <w:lang w:val="it-IT"/>
      </w:rPr>
      <w:t xml:space="preserve">identificare i </w:t>
    </w:r>
    <w:r w:rsidRPr="00023F50">
      <w:rPr>
        <w:lang w:val="it-IT"/>
      </w:rPr>
      <w:t>servizi forniti da Euler Hermes.</w:t>
    </w:r>
    <w:r w:rsidR="00854ADF" w:rsidRPr="00023F50">
      <w:rPr>
        <w:lang w:val="it-IT"/>
      </w:rPr>
      <w:tab/>
    </w:r>
    <w:r w:rsidR="00854ADF" w:rsidRPr="008F282A">
      <w:rPr>
        <w:color w:val="414141"/>
      </w:rPr>
      <w:fldChar w:fldCharType="begin"/>
    </w:r>
    <w:r w:rsidR="00854ADF" w:rsidRPr="00023F50">
      <w:rPr>
        <w:color w:val="414141"/>
        <w:lang w:val="it-IT"/>
      </w:rPr>
      <w:instrText xml:space="preserve"> PAGE   \* MERGEFORMAT </w:instrText>
    </w:r>
    <w:r w:rsidR="00854ADF" w:rsidRPr="008F282A">
      <w:rPr>
        <w:color w:val="414141"/>
      </w:rPr>
      <w:fldChar w:fldCharType="separate"/>
    </w:r>
    <w:r w:rsidR="00B67BA9" w:rsidRPr="00B67BA9">
      <w:rPr>
        <w:noProof/>
        <w:color w:val="414141"/>
      </w:rPr>
      <w:t>3</w:t>
    </w:r>
    <w:r w:rsidR="00854ADF" w:rsidRPr="008F282A">
      <w:rPr>
        <w:color w:val="414141"/>
      </w:rPr>
      <w:fldChar w:fldCharType="end"/>
    </w:r>
    <w:r w:rsidR="00854ADF" w:rsidRPr="008F282A">
      <w:rPr>
        <w:color w:val="414141"/>
      </w:rPr>
      <w:t>/</w:t>
    </w:r>
    <w:r w:rsidR="00854ADF" w:rsidRPr="008F282A">
      <w:rPr>
        <w:color w:val="414141"/>
      </w:rPr>
      <w:fldChar w:fldCharType="begin"/>
    </w:r>
    <w:r w:rsidR="00854ADF" w:rsidRPr="008F282A">
      <w:rPr>
        <w:color w:val="414141"/>
      </w:rPr>
      <w:instrText xml:space="preserve"> NUMPAGES  \* Arabic  \* MERGEFORMAT </w:instrText>
    </w:r>
    <w:r w:rsidR="00854ADF" w:rsidRPr="008F282A">
      <w:rPr>
        <w:color w:val="414141"/>
      </w:rPr>
      <w:fldChar w:fldCharType="separate"/>
    </w:r>
    <w:r w:rsidR="00B67BA9">
      <w:rPr>
        <w:noProof/>
        <w:color w:val="414141"/>
      </w:rPr>
      <w:t>3</w:t>
    </w:r>
    <w:r w:rsidR="00854ADF" w:rsidRPr="008F282A">
      <w:rPr>
        <w:color w:val="41414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41DD" w14:textId="4D16E028" w:rsidR="00586F52" w:rsidRDefault="00854ADF">
    <w:pPr>
      <w:pStyle w:val="Pidipagina"/>
    </w:pPr>
    <w:r w:rsidRPr="00023F50">
      <w:rPr>
        <w:lang w:val="it-IT"/>
      </w:rPr>
      <w:t xml:space="preserve">Allianz Trade è il marchio utilizzato per </w:t>
    </w:r>
    <w:r w:rsidR="00594259">
      <w:rPr>
        <w:lang w:val="it-IT"/>
      </w:rPr>
      <w:t xml:space="preserve">identificare i </w:t>
    </w:r>
    <w:r w:rsidRPr="00023F50">
      <w:rPr>
        <w:lang w:val="it-IT"/>
      </w:rPr>
      <w:t>servizi forniti da Euler Hermes.</w:t>
    </w:r>
    <w:r w:rsidRPr="00023F50">
      <w:rPr>
        <w:lang w:val="it-IT"/>
      </w:rPr>
      <w:tab/>
    </w:r>
    <w:r w:rsidRPr="008F282A">
      <w:rPr>
        <w:color w:val="414141"/>
      </w:rPr>
      <w:fldChar w:fldCharType="begin"/>
    </w:r>
    <w:r w:rsidRPr="00023F50">
      <w:rPr>
        <w:color w:val="414141"/>
        <w:lang w:val="it-IT"/>
      </w:rPr>
      <w:instrText xml:space="preserve"> PAGE   \* MERGEFORMAT </w:instrText>
    </w:r>
    <w:r w:rsidRPr="008F282A">
      <w:rPr>
        <w:color w:val="414141"/>
      </w:rPr>
      <w:fldChar w:fldCharType="separate"/>
    </w:r>
    <w:r w:rsidR="001744BB" w:rsidRPr="001744BB">
      <w:rPr>
        <w:noProof/>
        <w:color w:val="414141"/>
      </w:rPr>
      <w:t>1</w:t>
    </w:r>
    <w:r w:rsidRPr="008F282A">
      <w:rPr>
        <w:color w:val="414141"/>
      </w:rPr>
      <w:fldChar w:fldCharType="end"/>
    </w:r>
    <w:r w:rsidRPr="008F282A">
      <w:rPr>
        <w:color w:val="414141"/>
      </w:rPr>
      <w:t>/</w:t>
    </w:r>
    <w:r w:rsidRPr="008F282A">
      <w:rPr>
        <w:color w:val="414141"/>
      </w:rPr>
      <w:fldChar w:fldCharType="begin"/>
    </w:r>
    <w:r w:rsidRPr="008F282A">
      <w:rPr>
        <w:color w:val="414141"/>
      </w:rPr>
      <w:instrText xml:space="preserve"> NUMPAGES  \* Arabic  \* MERGEFORMAT </w:instrText>
    </w:r>
    <w:r w:rsidRPr="008F282A">
      <w:rPr>
        <w:color w:val="414141"/>
      </w:rPr>
      <w:fldChar w:fldCharType="separate"/>
    </w:r>
    <w:r w:rsidR="001744BB">
      <w:rPr>
        <w:noProof/>
        <w:color w:val="414141"/>
      </w:rPr>
      <w:t>3</w:t>
    </w:r>
    <w:r w:rsidRPr="008F282A">
      <w:rPr>
        <w:color w:val="41414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72C7" w14:textId="77777777" w:rsidR="00821BBC" w:rsidRDefault="00821BBC" w:rsidP="009F69DD">
      <w:r>
        <w:separator/>
      </w:r>
    </w:p>
  </w:footnote>
  <w:footnote w:type="continuationSeparator" w:id="0">
    <w:p w14:paraId="6E3B6993" w14:textId="77777777" w:rsidR="00821BBC" w:rsidRDefault="00821BBC" w:rsidP="009F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5275B" w14:textId="2C92010F" w:rsidR="00586F52" w:rsidRDefault="00854ADF">
    <w:pPr>
      <w:pStyle w:val="Intestazione"/>
    </w:pPr>
    <w:r>
      <w:rPr>
        <w:noProof/>
        <w:lang w:val="it-IT" w:eastAsia="it-IT"/>
      </w:rPr>
      <w:drawing>
        <wp:anchor distT="0" distB="8890" distL="114300" distR="114935" simplePos="0" relativeHeight="251660288" behindDoc="0" locked="0" layoutInCell="1" allowOverlap="1" wp14:anchorId="3CAC816F" wp14:editId="40EE5E69">
          <wp:simplePos x="0" y="0"/>
          <wp:positionH relativeFrom="column">
            <wp:posOffset>4900930</wp:posOffset>
          </wp:positionH>
          <wp:positionV relativeFrom="margin">
            <wp:posOffset>-1127125</wp:posOffset>
          </wp:positionV>
          <wp:extent cx="532765" cy="308610"/>
          <wp:effectExtent l="0" t="0" r="0" b="0"/>
          <wp:wrapSquare wrapText="bothSides"/>
          <wp:docPr id="7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A8A8E1" wp14:editId="48638532">
              <wp:simplePos x="0" y="0"/>
              <wp:positionH relativeFrom="column">
                <wp:posOffset>12065</wp:posOffset>
              </wp:positionH>
              <wp:positionV relativeFrom="paragraph">
                <wp:posOffset>974725</wp:posOffset>
              </wp:positionV>
              <wp:extent cx="5389880" cy="441325"/>
              <wp:effectExtent l="12700" t="12700" r="0" b="3175"/>
              <wp:wrapTopAndBottom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89880" cy="441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hteck 6" style="position:absolute;margin-left:.95pt;margin-top:76.75pt;width:424.4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spid="_x0000_s1026" fillcolor="window" strokecolor="window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" w14:anchorId="1833670C">
              <v:path arrowok="t"/>
              <w10:wrap type="topAndBottom"/>
            </v:rect>
          </w:pict>
        </mc:Fallback>
      </mc:AlternateContent>
    </w:r>
    <w:r>
      <w:rPr>
        <w:noProof/>
        <w:lang w:val="it-IT" w:eastAsia="it-IT"/>
      </w:rPr>
      <w:drawing>
        <wp:anchor distT="0" distB="8890" distL="114300" distR="122555" simplePos="0" relativeHeight="251655168" behindDoc="0" locked="1" layoutInCell="1" allowOverlap="1" wp14:anchorId="1401A457" wp14:editId="4EFA4828">
          <wp:simplePos x="0" y="0"/>
          <wp:positionH relativeFrom="page">
            <wp:posOffset>488950</wp:posOffset>
          </wp:positionH>
          <wp:positionV relativeFrom="page">
            <wp:posOffset>490220</wp:posOffset>
          </wp:positionV>
          <wp:extent cx="1439545" cy="359410"/>
          <wp:effectExtent l="0" t="0" r="0" b="0"/>
          <wp:wrapSquare wrapText="bothSides"/>
          <wp:docPr id="4" name="Grafik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6097" w14:textId="77777777" w:rsidR="00586F52" w:rsidRDefault="00854ADF">
    <w:pPr>
      <w:pStyle w:val="Intestazione"/>
    </w:pPr>
    <w:r>
      <w:rPr>
        <w:noProof/>
        <w:lang w:val="it-IT" w:eastAsia="it-IT"/>
      </w:rPr>
      <w:drawing>
        <wp:anchor distT="0" distB="8890" distL="114300" distR="114935" simplePos="0" relativeHeight="251659264" behindDoc="0" locked="0" layoutInCell="1" allowOverlap="1" wp14:anchorId="104AD379" wp14:editId="219F95FC">
          <wp:simplePos x="0" y="0"/>
          <wp:positionH relativeFrom="column">
            <wp:posOffset>4910455</wp:posOffset>
          </wp:positionH>
          <wp:positionV relativeFrom="margin">
            <wp:posOffset>-1123950</wp:posOffset>
          </wp:positionV>
          <wp:extent cx="532765" cy="308610"/>
          <wp:effectExtent l="0" t="0" r="0" b="0"/>
          <wp:wrapSquare wrapText="bothSides"/>
          <wp:docPr id="3" name="Grafi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8890" distL="114300" distR="122555" simplePos="0" relativeHeight="251657216" behindDoc="0" locked="1" layoutInCell="1" allowOverlap="1" wp14:anchorId="0249B3E6" wp14:editId="60873FBE">
          <wp:simplePos x="0" y="0"/>
          <wp:positionH relativeFrom="page">
            <wp:posOffset>497840</wp:posOffset>
          </wp:positionH>
          <wp:positionV relativeFrom="page">
            <wp:posOffset>486410</wp:posOffset>
          </wp:positionV>
          <wp:extent cx="1439545" cy="359410"/>
          <wp:effectExtent l="0" t="0" r="0" b="0"/>
          <wp:wrapSquare wrapText="bothSides"/>
          <wp:docPr id="2" name="Grafik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26E9"/>
    <w:multiLevelType w:val="hybridMultilevel"/>
    <w:tmpl w:val="56242162"/>
    <w:lvl w:ilvl="0" w:tplc="EFFE85F0">
      <w:start w:val="1"/>
      <w:numFmt w:val="bullet"/>
      <w:pStyle w:val="AZ-PList"/>
      <w:lvlText w:val="•"/>
      <w:lvlJc w:val="left"/>
      <w:rPr>
        <w:rFonts w:ascii="Allianz Neo" w:hAnsi="Allianz Neo" w:hint="default"/>
        <w:color w:val="00378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22B2"/>
    <w:multiLevelType w:val="hybridMultilevel"/>
    <w:tmpl w:val="4AB432CA"/>
    <w:lvl w:ilvl="0" w:tplc="1F10311C">
      <w:numFmt w:val="bullet"/>
      <w:lvlText w:val="-"/>
      <w:lvlJc w:val="left"/>
      <w:pPr>
        <w:ind w:left="720" w:hanging="360"/>
      </w:pPr>
      <w:rPr>
        <w:rFonts w:ascii="Allianz Neo" w:eastAsia="Allianz Neo" w:hAnsi="Allianz Ne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77697"/>
    <w:multiLevelType w:val="hybridMultilevel"/>
    <w:tmpl w:val="973A2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B5DD4"/>
    <w:multiLevelType w:val="hybridMultilevel"/>
    <w:tmpl w:val="B944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C2039"/>
    <w:multiLevelType w:val="hybridMultilevel"/>
    <w:tmpl w:val="A7584E7E"/>
    <w:lvl w:ilvl="0" w:tplc="437A2BF8">
      <w:start w:val="1"/>
      <w:numFmt w:val="decimal"/>
      <w:pStyle w:val="Paragrafoelenco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6" w15:restartNumberingAfterBreak="0">
    <w:nsid w:val="5F6D21C8"/>
    <w:multiLevelType w:val="hybridMultilevel"/>
    <w:tmpl w:val="6AA22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95F89"/>
    <w:multiLevelType w:val="hybridMultilevel"/>
    <w:tmpl w:val="D9729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A3C5D"/>
    <w:multiLevelType w:val="hybridMultilevel"/>
    <w:tmpl w:val="875E8B26"/>
    <w:lvl w:ilvl="0" w:tplc="BE101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03CF6"/>
    <w:multiLevelType w:val="hybridMultilevel"/>
    <w:tmpl w:val="C1F4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8091277">
    <w:abstractNumId w:val="5"/>
  </w:num>
  <w:num w:numId="2" w16cid:durableId="1979913131">
    <w:abstractNumId w:val="4"/>
  </w:num>
  <w:num w:numId="3" w16cid:durableId="39207630">
    <w:abstractNumId w:val="4"/>
  </w:num>
  <w:num w:numId="4" w16cid:durableId="1495996082">
    <w:abstractNumId w:val="0"/>
  </w:num>
  <w:num w:numId="5" w16cid:durableId="747112855">
    <w:abstractNumId w:val="8"/>
  </w:num>
  <w:num w:numId="6" w16cid:durableId="1146701900">
    <w:abstractNumId w:val="9"/>
  </w:num>
  <w:num w:numId="7" w16cid:durableId="1294024866">
    <w:abstractNumId w:val="1"/>
  </w:num>
  <w:num w:numId="8" w16cid:durableId="1087074965">
    <w:abstractNumId w:val="6"/>
  </w:num>
  <w:num w:numId="9" w16cid:durableId="1348097388">
    <w:abstractNumId w:val="3"/>
  </w:num>
  <w:num w:numId="10" w16cid:durableId="1802260350">
    <w:abstractNumId w:val="2"/>
  </w:num>
  <w:num w:numId="11" w16cid:durableId="1274745961">
    <w:abstractNumId w:val="7"/>
  </w:num>
  <w:num w:numId="12" w16cid:durableId="16310165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removePersonalInformation/>
  <w:removeDateAndTime/>
  <w:proofState w:spelling="clean" w:grammar="clean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A47"/>
    <w:rsid w:val="00001403"/>
    <w:rsid w:val="00004E22"/>
    <w:rsid w:val="00006EF5"/>
    <w:rsid w:val="000074E6"/>
    <w:rsid w:val="00007825"/>
    <w:rsid w:val="000115DA"/>
    <w:rsid w:val="000200E3"/>
    <w:rsid w:val="00020E22"/>
    <w:rsid w:val="0002114E"/>
    <w:rsid w:val="00023F50"/>
    <w:rsid w:val="0002719A"/>
    <w:rsid w:val="0003180E"/>
    <w:rsid w:val="000321B9"/>
    <w:rsid w:val="00036F79"/>
    <w:rsid w:val="000419D4"/>
    <w:rsid w:val="00044441"/>
    <w:rsid w:val="00045A3B"/>
    <w:rsid w:val="00047610"/>
    <w:rsid w:val="00047AC1"/>
    <w:rsid w:val="00047C56"/>
    <w:rsid w:val="00051993"/>
    <w:rsid w:val="00052412"/>
    <w:rsid w:val="00055A73"/>
    <w:rsid w:val="00066B51"/>
    <w:rsid w:val="00067C88"/>
    <w:rsid w:val="00070BAA"/>
    <w:rsid w:val="00077AD1"/>
    <w:rsid w:val="000841C0"/>
    <w:rsid w:val="00096FB4"/>
    <w:rsid w:val="000B77F8"/>
    <w:rsid w:val="000C1F2E"/>
    <w:rsid w:val="000C2D55"/>
    <w:rsid w:val="000C3C7B"/>
    <w:rsid w:val="000C5201"/>
    <w:rsid w:val="000D3C60"/>
    <w:rsid w:val="000E6FCD"/>
    <w:rsid w:val="000F5C2B"/>
    <w:rsid w:val="00102638"/>
    <w:rsid w:val="00102E44"/>
    <w:rsid w:val="00103B76"/>
    <w:rsid w:val="0010533E"/>
    <w:rsid w:val="00111CEC"/>
    <w:rsid w:val="0011757D"/>
    <w:rsid w:val="00122158"/>
    <w:rsid w:val="00122401"/>
    <w:rsid w:val="00122516"/>
    <w:rsid w:val="00126125"/>
    <w:rsid w:val="00126429"/>
    <w:rsid w:val="00126C4A"/>
    <w:rsid w:val="00130B1B"/>
    <w:rsid w:val="00132085"/>
    <w:rsid w:val="00137A75"/>
    <w:rsid w:val="001400F2"/>
    <w:rsid w:val="0014419F"/>
    <w:rsid w:val="00156935"/>
    <w:rsid w:val="00165F41"/>
    <w:rsid w:val="001707BB"/>
    <w:rsid w:val="00170994"/>
    <w:rsid w:val="001744BB"/>
    <w:rsid w:val="00174AC7"/>
    <w:rsid w:val="00174DFC"/>
    <w:rsid w:val="001768B4"/>
    <w:rsid w:val="0018493E"/>
    <w:rsid w:val="0019318F"/>
    <w:rsid w:val="00194716"/>
    <w:rsid w:val="0019580E"/>
    <w:rsid w:val="00196902"/>
    <w:rsid w:val="0019741A"/>
    <w:rsid w:val="001A017D"/>
    <w:rsid w:val="001A14E1"/>
    <w:rsid w:val="001A1DB5"/>
    <w:rsid w:val="001A26F3"/>
    <w:rsid w:val="001A6E7B"/>
    <w:rsid w:val="001B50E5"/>
    <w:rsid w:val="001C5FB3"/>
    <w:rsid w:val="001E4847"/>
    <w:rsid w:val="001E5BB4"/>
    <w:rsid w:val="001E6D1C"/>
    <w:rsid w:val="001F38CB"/>
    <w:rsid w:val="001F3C53"/>
    <w:rsid w:val="001F5CF6"/>
    <w:rsid w:val="002002A0"/>
    <w:rsid w:val="00212033"/>
    <w:rsid w:val="00216C42"/>
    <w:rsid w:val="0022297E"/>
    <w:rsid w:val="00225256"/>
    <w:rsid w:val="002272AA"/>
    <w:rsid w:val="00230132"/>
    <w:rsid w:val="00234775"/>
    <w:rsid w:val="0023490B"/>
    <w:rsid w:val="00236787"/>
    <w:rsid w:val="0024048B"/>
    <w:rsid w:val="00241A21"/>
    <w:rsid w:val="0024492E"/>
    <w:rsid w:val="00256948"/>
    <w:rsid w:val="002638A7"/>
    <w:rsid w:val="00264893"/>
    <w:rsid w:val="00264D57"/>
    <w:rsid w:val="0026774B"/>
    <w:rsid w:val="00267FDC"/>
    <w:rsid w:val="0027218B"/>
    <w:rsid w:val="00274FDE"/>
    <w:rsid w:val="00280C02"/>
    <w:rsid w:val="002813E7"/>
    <w:rsid w:val="00283B54"/>
    <w:rsid w:val="0029142C"/>
    <w:rsid w:val="00294FDD"/>
    <w:rsid w:val="0029578F"/>
    <w:rsid w:val="002A0C15"/>
    <w:rsid w:val="002A35B4"/>
    <w:rsid w:val="002A3DDC"/>
    <w:rsid w:val="002A5C66"/>
    <w:rsid w:val="002B22C7"/>
    <w:rsid w:val="002B6FF5"/>
    <w:rsid w:val="002B7871"/>
    <w:rsid w:val="002C215C"/>
    <w:rsid w:val="002C54D2"/>
    <w:rsid w:val="002C6028"/>
    <w:rsid w:val="002C6796"/>
    <w:rsid w:val="002C68AA"/>
    <w:rsid w:val="002D275D"/>
    <w:rsid w:val="002E0524"/>
    <w:rsid w:val="002E7814"/>
    <w:rsid w:val="002F0681"/>
    <w:rsid w:val="002F0D1C"/>
    <w:rsid w:val="002F4B2D"/>
    <w:rsid w:val="002F5684"/>
    <w:rsid w:val="003114A9"/>
    <w:rsid w:val="0031644F"/>
    <w:rsid w:val="00320983"/>
    <w:rsid w:val="00321278"/>
    <w:rsid w:val="00323C8B"/>
    <w:rsid w:val="00327D08"/>
    <w:rsid w:val="0033290D"/>
    <w:rsid w:val="00332FC3"/>
    <w:rsid w:val="003426AF"/>
    <w:rsid w:val="0034499E"/>
    <w:rsid w:val="00347F72"/>
    <w:rsid w:val="003600D4"/>
    <w:rsid w:val="0036024C"/>
    <w:rsid w:val="00362088"/>
    <w:rsid w:val="00362C31"/>
    <w:rsid w:val="00367438"/>
    <w:rsid w:val="0037149F"/>
    <w:rsid w:val="00372ACD"/>
    <w:rsid w:val="00380126"/>
    <w:rsid w:val="003814C6"/>
    <w:rsid w:val="00387B66"/>
    <w:rsid w:val="003A03A9"/>
    <w:rsid w:val="003C0410"/>
    <w:rsid w:val="003C15A8"/>
    <w:rsid w:val="003C21FB"/>
    <w:rsid w:val="003C2C23"/>
    <w:rsid w:val="003C5471"/>
    <w:rsid w:val="003D668E"/>
    <w:rsid w:val="003E554F"/>
    <w:rsid w:val="003E6311"/>
    <w:rsid w:val="003F6A3D"/>
    <w:rsid w:val="00401D0D"/>
    <w:rsid w:val="00412576"/>
    <w:rsid w:val="0041352D"/>
    <w:rsid w:val="00415745"/>
    <w:rsid w:val="0042077A"/>
    <w:rsid w:val="00421689"/>
    <w:rsid w:val="00426411"/>
    <w:rsid w:val="0043201B"/>
    <w:rsid w:val="0043307E"/>
    <w:rsid w:val="00434485"/>
    <w:rsid w:val="00435EF6"/>
    <w:rsid w:val="004443D4"/>
    <w:rsid w:val="00450D4B"/>
    <w:rsid w:val="00451F72"/>
    <w:rsid w:val="00452CF2"/>
    <w:rsid w:val="00453452"/>
    <w:rsid w:val="00464F42"/>
    <w:rsid w:val="00476967"/>
    <w:rsid w:val="00477E82"/>
    <w:rsid w:val="00485A8D"/>
    <w:rsid w:val="004879EB"/>
    <w:rsid w:val="00487AC0"/>
    <w:rsid w:val="0049541C"/>
    <w:rsid w:val="00497E73"/>
    <w:rsid w:val="004A0108"/>
    <w:rsid w:val="004A2DE7"/>
    <w:rsid w:val="004A7A0B"/>
    <w:rsid w:val="004B54F1"/>
    <w:rsid w:val="004C0320"/>
    <w:rsid w:val="004C0F22"/>
    <w:rsid w:val="004C3D40"/>
    <w:rsid w:val="004C6A90"/>
    <w:rsid w:val="004C6DCD"/>
    <w:rsid w:val="004C71AD"/>
    <w:rsid w:val="004C72F9"/>
    <w:rsid w:val="004D08A1"/>
    <w:rsid w:val="004D327D"/>
    <w:rsid w:val="004D63A4"/>
    <w:rsid w:val="004D7BCB"/>
    <w:rsid w:val="004E116C"/>
    <w:rsid w:val="004E424C"/>
    <w:rsid w:val="004E58D0"/>
    <w:rsid w:val="004F00DF"/>
    <w:rsid w:val="004F3792"/>
    <w:rsid w:val="004F5077"/>
    <w:rsid w:val="004F51B6"/>
    <w:rsid w:val="004F5F4D"/>
    <w:rsid w:val="004F6DBB"/>
    <w:rsid w:val="004F78DE"/>
    <w:rsid w:val="00503301"/>
    <w:rsid w:val="00506F8D"/>
    <w:rsid w:val="00512D7A"/>
    <w:rsid w:val="00513E83"/>
    <w:rsid w:val="0051799E"/>
    <w:rsid w:val="00522E64"/>
    <w:rsid w:val="00524270"/>
    <w:rsid w:val="00524A0A"/>
    <w:rsid w:val="00527083"/>
    <w:rsid w:val="0053345B"/>
    <w:rsid w:val="00536823"/>
    <w:rsid w:val="00543156"/>
    <w:rsid w:val="00543D8A"/>
    <w:rsid w:val="0055399B"/>
    <w:rsid w:val="00553DB3"/>
    <w:rsid w:val="00561D17"/>
    <w:rsid w:val="00563350"/>
    <w:rsid w:val="005729D4"/>
    <w:rsid w:val="00575054"/>
    <w:rsid w:val="00581389"/>
    <w:rsid w:val="005830FE"/>
    <w:rsid w:val="00586680"/>
    <w:rsid w:val="00586F52"/>
    <w:rsid w:val="0058758E"/>
    <w:rsid w:val="00591FC8"/>
    <w:rsid w:val="00592728"/>
    <w:rsid w:val="00593035"/>
    <w:rsid w:val="00594259"/>
    <w:rsid w:val="005A0D37"/>
    <w:rsid w:val="005A3002"/>
    <w:rsid w:val="005A462F"/>
    <w:rsid w:val="005A788B"/>
    <w:rsid w:val="005B200E"/>
    <w:rsid w:val="005C69EB"/>
    <w:rsid w:val="005C6EE0"/>
    <w:rsid w:val="005D10A6"/>
    <w:rsid w:val="005D7114"/>
    <w:rsid w:val="005F07DC"/>
    <w:rsid w:val="005F50C3"/>
    <w:rsid w:val="005F564F"/>
    <w:rsid w:val="0060699F"/>
    <w:rsid w:val="006074D4"/>
    <w:rsid w:val="00611686"/>
    <w:rsid w:val="00615C4D"/>
    <w:rsid w:val="00621165"/>
    <w:rsid w:val="006227A4"/>
    <w:rsid w:val="006237BE"/>
    <w:rsid w:val="00625C73"/>
    <w:rsid w:val="00626C4E"/>
    <w:rsid w:val="0064613F"/>
    <w:rsid w:val="00647875"/>
    <w:rsid w:val="00656C34"/>
    <w:rsid w:val="00657372"/>
    <w:rsid w:val="00657A6D"/>
    <w:rsid w:val="00661940"/>
    <w:rsid w:val="00661AAB"/>
    <w:rsid w:val="00662878"/>
    <w:rsid w:val="00663CD5"/>
    <w:rsid w:val="00664368"/>
    <w:rsid w:val="00676252"/>
    <w:rsid w:val="00683109"/>
    <w:rsid w:val="006861E7"/>
    <w:rsid w:val="00686CD6"/>
    <w:rsid w:val="006A565A"/>
    <w:rsid w:val="006B3036"/>
    <w:rsid w:val="006B65E5"/>
    <w:rsid w:val="006B767D"/>
    <w:rsid w:val="006C760F"/>
    <w:rsid w:val="006E0618"/>
    <w:rsid w:val="006E1E4A"/>
    <w:rsid w:val="006E2124"/>
    <w:rsid w:val="006E294F"/>
    <w:rsid w:val="006E67C7"/>
    <w:rsid w:val="006F14B1"/>
    <w:rsid w:val="00702ED4"/>
    <w:rsid w:val="00716D0B"/>
    <w:rsid w:val="00722371"/>
    <w:rsid w:val="0072279B"/>
    <w:rsid w:val="007251AD"/>
    <w:rsid w:val="00727391"/>
    <w:rsid w:val="00727FA2"/>
    <w:rsid w:val="00732F22"/>
    <w:rsid w:val="00734295"/>
    <w:rsid w:val="00740D36"/>
    <w:rsid w:val="00742AD7"/>
    <w:rsid w:val="00744468"/>
    <w:rsid w:val="00752492"/>
    <w:rsid w:val="00763967"/>
    <w:rsid w:val="00765B2A"/>
    <w:rsid w:val="00766A93"/>
    <w:rsid w:val="007725C1"/>
    <w:rsid w:val="00774613"/>
    <w:rsid w:val="00776520"/>
    <w:rsid w:val="00776626"/>
    <w:rsid w:val="007806A2"/>
    <w:rsid w:val="00787B86"/>
    <w:rsid w:val="00787C92"/>
    <w:rsid w:val="00792DC2"/>
    <w:rsid w:val="007A2502"/>
    <w:rsid w:val="007A4629"/>
    <w:rsid w:val="007A5A52"/>
    <w:rsid w:val="007C14CF"/>
    <w:rsid w:val="007C2E29"/>
    <w:rsid w:val="007C35AC"/>
    <w:rsid w:val="007D1265"/>
    <w:rsid w:val="007D3AA1"/>
    <w:rsid w:val="007E0361"/>
    <w:rsid w:val="007E78F0"/>
    <w:rsid w:val="00800D88"/>
    <w:rsid w:val="00803FF2"/>
    <w:rsid w:val="00806B20"/>
    <w:rsid w:val="00807C45"/>
    <w:rsid w:val="008109B4"/>
    <w:rsid w:val="0081556A"/>
    <w:rsid w:val="00821BBC"/>
    <w:rsid w:val="00821F83"/>
    <w:rsid w:val="008257B6"/>
    <w:rsid w:val="00832F77"/>
    <w:rsid w:val="00833F37"/>
    <w:rsid w:val="00833F45"/>
    <w:rsid w:val="00840902"/>
    <w:rsid w:val="008423DE"/>
    <w:rsid w:val="0084308B"/>
    <w:rsid w:val="008510EB"/>
    <w:rsid w:val="00854ADF"/>
    <w:rsid w:val="0085528A"/>
    <w:rsid w:val="008553C1"/>
    <w:rsid w:val="00856207"/>
    <w:rsid w:val="008625F2"/>
    <w:rsid w:val="008630DE"/>
    <w:rsid w:val="008653BA"/>
    <w:rsid w:val="008676A1"/>
    <w:rsid w:val="0087091D"/>
    <w:rsid w:val="00886206"/>
    <w:rsid w:val="00890265"/>
    <w:rsid w:val="0089346F"/>
    <w:rsid w:val="008951C1"/>
    <w:rsid w:val="008A1EA1"/>
    <w:rsid w:val="008A5BA7"/>
    <w:rsid w:val="008A7488"/>
    <w:rsid w:val="008A7FD2"/>
    <w:rsid w:val="008B2ABF"/>
    <w:rsid w:val="008B60DE"/>
    <w:rsid w:val="008B6126"/>
    <w:rsid w:val="008B70A0"/>
    <w:rsid w:val="008C5429"/>
    <w:rsid w:val="008D0DBC"/>
    <w:rsid w:val="008D1A8A"/>
    <w:rsid w:val="008D7BFE"/>
    <w:rsid w:val="008E4DAD"/>
    <w:rsid w:val="008F1C15"/>
    <w:rsid w:val="008F282A"/>
    <w:rsid w:val="008F4632"/>
    <w:rsid w:val="008F5046"/>
    <w:rsid w:val="00902BC8"/>
    <w:rsid w:val="00902D61"/>
    <w:rsid w:val="00905C99"/>
    <w:rsid w:val="00905EF3"/>
    <w:rsid w:val="00912E15"/>
    <w:rsid w:val="00922446"/>
    <w:rsid w:val="00925AD9"/>
    <w:rsid w:val="00927391"/>
    <w:rsid w:val="009326F0"/>
    <w:rsid w:val="00932F63"/>
    <w:rsid w:val="00933E95"/>
    <w:rsid w:val="00933F3A"/>
    <w:rsid w:val="00933FA7"/>
    <w:rsid w:val="0094322D"/>
    <w:rsid w:val="00950833"/>
    <w:rsid w:val="00953630"/>
    <w:rsid w:val="0096232F"/>
    <w:rsid w:val="00962E0E"/>
    <w:rsid w:val="0096535D"/>
    <w:rsid w:val="00985475"/>
    <w:rsid w:val="00987325"/>
    <w:rsid w:val="00997C70"/>
    <w:rsid w:val="009A2452"/>
    <w:rsid w:val="009A3568"/>
    <w:rsid w:val="009A4308"/>
    <w:rsid w:val="009B16E6"/>
    <w:rsid w:val="009B4717"/>
    <w:rsid w:val="009B5949"/>
    <w:rsid w:val="009C08AB"/>
    <w:rsid w:val="009C4AB0"/>
    <w:rsid w:val="009D0A21"/>
    <w:rsid w:val="009D622D"/>
    <w:rsid w:val="009E62A2"/>
    <w:rsid w:val="009E7E09"/>
    <w:rsid w:val="009F3681"/>
    <w:rsid w:val="009F69DD"/>
    <w:rsid w:val="00A0111C"/>
    <w:rsid w:val="00A03F50"/>
    <w:rsid w:val="00A05336"/>
    <w:rsid w:val="00A05352"/>
    <w:rsid w:val="00A14130"/>
    <w:rsid w:val="00A172D0"/>
    <w:rsid w:val="00A21958"/>
    <w:rsid w:val="00A23AA9"/>
    <w:rsid w:val="00A23C06"/>
    <w:rsid w:val="00A240F2"/>
    <w:rsid w:val="00A27B8B"/>
    <w:rsid w:val="00A30538"/>
    <w:rsid w:val="00A369B9"/>
    <w:rsid w:val="00A406A0"/>
    <w:rsid w:val="00A409D2"/>
    <w:rsid w:val="00A44252"/>
    <w:rsid w:val="00A60686"/>
    <w:rsid w:val="00A60E6B"/>
    <w:rsid w:val="00A67893"/>
    <w:rsid w:val="00A71688"/>
    <w:rsid w:val="00A718D0"/>
    <w:rsid w:val="00A76C73"/>
    <w:rsid w:val="00A80273"/>
    <w:rsid w:val="00A81742"/>
    <w:rsid w:val="00A90DBF"/>
    <w:rsid w:val="00A91C76"/>
    <w:rsid w:val="00A9369B"/>
    <w:rsid w:val="00A93D51"/>
    <w:rsid w:val="00AA1926"/>
    <w:rsid w:val="00AA38A8"/>
    <w:rsid w:val="00AA785C"/>
    <w:rsid w:val="00AB0906"/>
    <w:rsid w:val="00AB3B78"/>
    <w:rsid w:val="00AB7E29"/>
    <w:rsid w:val="00AC56EC"/>
    <w:rsid w:val="00AC7ABF"/>
    <w:rsid w:val="00AD6E5F"/>
    <w:rsid w:val="00AE29E1"/>
    <w:rsid w:val="00AE5BD6"/>
    <w:rsid w:val="00AF444D"/>
    <w:rsid w:val="00AF540A"/>
    <w:rsid w:val="00AF62AD"/>
    <w:rsid w:val="00B00EBA"/>
    <w:rsid w:val="00B06E07"/>
    <w:rsid w:val="00B1188D"/>
    <w:rsid w:val="00B17C4C"/>
    <w:rsid w:val="00B202E3"/>
    <w:rsid w:val="00B209C4"/>
    <w:rsid w:val="00B272C4"/>
    <w:rsid w:val="00B31878"/>
    <w:rsid w:val="00B36376"/>
    <w:rsid w:val="00B409CD"/>
    <w:rsid w:val="00B41915"/>
    <w:rsid w:val="00B466D5"/>
    <w:rsid w:val="00B47102"/>
    <w:rsid w:val="00B509F1"/>
    <w:rsid w:val="00B53A79"/>
    <w:rsid w:val="00B55C7D"/>
    <w:rsid w:val="00B57121"/>
    <w:rsid w:val="00B604AC"/>
    <w:rsid w:val="00B61009"/>
    <w:rsid w:val="00B61D26"/>
    <w:rsid w:val="00B64074"/>
    <w:rsid w:val="00B67BA9"/>
    <w:rsid w:val="00B77484"/>
    <w:rsid w:val="00B80138"/>
    <w:rsid w:val="00B80B85"/>
    <w:rsid w:val="00BA0952"/>
    <w:rsid w:val="00BA4634"/>
    <w:rsid w:val="00BB020E"/>
    <w:rsid w:val="00BB27BC"/>
    <w:rsid w:val="00BC5634"/>
    <w:rsid w:val="00BE1639"/>
    <w:rsid w:val="00BE25A8"/>
    <w:rsid w:val="00BE4E13"/>
    <w:rsid w:val="00BF4644"/>
    <w:rsid w:val="00C0732A"/>
    <w:rsid w:val="00C11517"/>
    <w:rsid w:val="00C14A47"/>
    <w:rsid w:val="00C170EF"/>
    <w:rsid w:val="00C20FF1"/>
    <w:rsid w:val="00C2394B"/>
    <w:rsid w:val="00C26093"/>
    <w:rsid w:val="00C3478E"/>
    <w:rsid w:val="00C42E19"/>
    <w:rsid w:val="00C570D2"/>
    <w:rsid w:val="00C65EFA"/>
    <w:rsid w:val="00C67D7E"/>
    <w:rsid w:val="00C7096B"/>
    <w:rsid w:val="00C71E91"/>
    <w:rsid w:val="00C738DC"/>
    <w:rsid w:val="00C76E67"/>
    <w:rsid w:val="00C9394B"/>
    <w:rsid w:val="00CB2892"/>
    <w:rsid w:val="00CC179A"/>
    <w:rsid w:val="00CC2676"/>
    <w:rsid w:val="00CC7CBF"/>
    <w:rsid w:val="00CD1D18"/>
    <w:rsid w:val="00CD5326"/>
    <w:rsid w:val="00CD5F03"/>
    <w:rsid w:val="00CD7A5A"/>
    <w:rsid w:val="00CD7E1F"/>
    <w:rsid w:val="00CE0C59"/>
    <w:rsid w:val="00CE7654"/>
    <w:rsid w:val="00CF3477"/>
    <w:rsid w:val="00CF3C4B"/>
    <w:rsid w:val="00CF7F17"/>
    <w:rsid w:val="00D04DE6"/>
    <w:rsid w:val="00D076B3"/>
    <w:rsid w:val="00D07D72"/>
    <w:rsid w:val="00D11FFE"/>
    <w:rsid w:val="00D125B3"/>
    <w:rsid w:val="00D12F38"/>
    <w:rsid w:val="00D2040A"/>
    <w:rsid w:val="00D25D0B"/>
    <w:rsid w:val="00D268AE"/>
    <w:rsid w:val="00D35B7F"/>
    <w:rsid w:val="00D454A0"/>
    <w:rsid w:val="00D4655F"/>
    <w:rsid w:val="00D5104E"/>
    <w:rsid w:val="00D5427B"/>
    <w:rsid w:val="00D562FE"/>
    <w:rsid w:val="00D56956"/>
    <w:rsid w:val="00D56A62"/>
    <w:rsid w:val="00D66498"/>
    <w:rsid w:val="00D9281B"/>
    <w:rsid w:val="00D944D3"/>
    <w:rsid w:val="00DA4E78"/>
    <w:rsid w:val="00DA6907"/>
    <w:rsid w:val="00DC2624"/>
    <w:rsid w:val="00DC3966"/>
    <w:rsid w:val="00DC7110"/>
    <w:rsid w:val="00DD0224"/>
    <w:rsid w:val="00DD5FA2"/>
    <w:rsid w:val="00DE0E13"/>
    <w:rsid w:val="00DE1478"/>
    <w:rsid w:val="00DE1E66"/>
    <w:rsid w:val="00DE2755"/>
    <w:rsid w:val="00DF487D"/>
    <w:rsid w:val="00DF5D84"/>
    <w:rsid w:val="00E02045"/>
    <w:rsid w:val="00E16A7C"/>
    <w:rsid w:val="00E16E01"/>
    <w:rsid w:val="00E21639"/>
    <w:rsid w:val="00E268D6"/>
    <w:rsid w:val="00E27BAA"/>
    <w:rsid w:val="00E32097"/>
    <w:rsid w:val="00E32536"/>
    <w:rsid w:val="00E35B59"/>
    <w:rsid w:val="00E445B7"/>
    <w:rsid w:val="00E502B7"/>
    <w:rsid w:val="00E61DC2"/>
    <w:rsid w:val="00E6207C"/>
    <w:rsid w:val="00E67E46"/>
    <w:rsid w:val="00E75BF8"/>
    <w:rsid w:val="00E774EB"/>
    <w:rsid w:val="00E85758"/>
    <w:rsid w:val="00E85F97"/>
    <w:rsid w:val="00E914F5"/>
    <w:rsid w:val="00E931C0"/>
    <w:rsid w:val="00E95509"/>
    <w:rsid w:val="00E97FB8"/>
    <w:rsid w:val="00EA27C9"/>
    <w:rsid w:val="00EA44BB"/>
    <w:rsid w:val="00EB0433"/>
    <w:rsid w:val="00EB7DF3"/>
    <w:rsid w:val="00EC5528"/>
    <w:rsid w:val="00ED08A4"/>
    <w:rsid w:val="00ED4FB4"/>
    <w:rsid w:val="00ED6E77"/>
    <w:rsid w:val="00EF6009"/>
    <w:rsid w:val="00EF6A49"/>
    <w:rsid w:val="00F0452F"/>
    <w:rsid w:val="00F06AD5"/>
    <w:rsid w:val="00F12E2F"/>
    <w:rsid w:val="00F15984"/>
    <w:rsid w:val="00F16BA3"/>
    <w:rsid w:val="00F24E65"/>
    <w:rsid w:val="00F36305"/>
    <w:rsid w:val="00F37238"/>
    <w:rsid w:val="00F55E33"/>
    <w:rsid w:val="00F633C4"/>
    <w:rsid w:val="00F70CA1"/>
    <w:rsid w:val="00F77546"/>
    <w:rsid w:val="00F77599"/>
    <w:rsid w:val="00F81F1D"/>
    <w:rsid w:val="00F91788"/>
    <w:rsid w:val="00F93955"/>
    <w:rsid w:val="00FA103C"/>
    <w:rsid w:val="00FB1116"/>
    <w:rsid w:val="00FB16E5"/>
    <w:rsid w:val="00FB1BD3"/>
    <w:rsid w:val="00FB687C"/>
    <w:rsid w:val="00FC0412"/>
    <w:rsid w:val="00FC4145"/>
    <w:rsid w:val="00FC5107"/>
    <w:rsid w:val="00FD19A6"/>
    <w:rsid w:val="00FD207D"/>
    <w:rsid w:val="00FD4AC9"/>
    <w:rsid w:val="00FD5F45"/>
    <w:rsid w:val="00FD71EF"/>
    <w:rsid w:val="00FE1658"/>
    <w:rsid w:val="00FE5288"/>
    <w:rsid w:val="00FF218B"/>
    <w:rsid w:val="00FF773D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076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ianz Neo" w:eastAsia="Allianz Neo" w:hAnsi="Allianz Ne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AZ-P Text"/>
    <w:qFormat/>
    <w:rsid w:val="00126429"/>
    <w:pPr>
      <w:spacing w:line="260" w:lineRule="atLeast"/>
    </w:pPr>
    <w:rPr>
      <w:szCs w:val="18"/>
      <w:lang w:val="en-GB" w:eastAsia="en-US"/>
    </w:rPr>
  </w:style>
  <w:style w:type="paragraph" w:styleId="Titolo1">
    <w:name w:val="heading 1"/>
    <w:aliases w:val="AZ-P Headline Level 1"/>
    <w:basedOn w:val="Normale"/>
    <w:next w:val="Normale"/>
    <w:link w:val="Titolo1Carattere"/>
    <w:uiPriority w:val="9"/>
    <w:rsid w:val="008109B4"/>
    <w:pPr>
      <w:keepNext/>
      <w:keepLines/>
      <w:spacing w:line="1200" w:lineRule="exact"/>
      <w:ind w:left="-29" w:hanging="1814"/>
      <w:outlineLvl w:val="0"/>
    </w:pPr>
    <w:rPr>
      <w:rFonts w:eastAsia="Times New Roman"/>
      <w:color w:val="003781"/>
      <w:spacing w:val="-80"/>
      <w:sz w:val="130"/>
      <w:szCs w:val="32"/>
    </w:rPr>
  </w:style>
  <w:style w:type="paragraph" w:styleId="Titolo2">
    <w:name w:val="heading 2"/>
    <w:aliases w:val="AZ-P Headline Level 2"/>
    <w:basedOn w:val="Titolo1"/>
    <w:next w:val="Normale"/>
    <w:link w:val="Titolo2Carattere"/>
    <w:uiPriority w:val="9"/>
    <w:qFormat/>
    <w:rsid w:val="009F69DD"/>
    <w:pPr>
      <w:keepNext w:val="0"/>
      <w:spacing w:before="240" w:line="300" w:lineRule="exact"/>
      <w:ind w:left="0" w:firstLine="0"/>
      <w:outlineLvl w:val="1"/>
    </w:pPr>
    <w:rPr>
      <w:b/>
      <w:spacing w:val="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785C"/>
    <w:pPr>
      <w:numPr>
        <w:numId w:val="3"/>
      </w:numPr>
      <w:spacing w:after="280" w:line="280" w:lineRule="atLeast"/>
      <w:contextualSpacing/>
    </w:pPr>
    <w:rPr>
      <w:color w:val="003781"/>
    </w:rPr>
  </w:style>
  <w:style w:type="character" w:customStyle="1" w:styleId="Titolo1Carattere">
    <w:name w:val="Titolo 1 Carattere"/>
    <w:aliases w:val="AZ-P Headline Level 1 Carattere"/>
    <w:link w:val="Titolo1"/>
    <w:uiPriority w:val="9"/>
    <w:rsid w:val="008109B4"/>
    <w:rPr>
      <w:rFonts w:ascii="Allianz Neo" w:eastAsia="Times New Roman" w:hAnsi="Allianz Neo" w:cs="Times New Roman"/>
      <w:color w:val="003781"/>
      <w:spacing w:val="-80"/>
      <w:sz w:val="130"/>
      <w:szCs w:val="32"/>
      <w:lang w:val="en-GB"/>
    </w:rPr>
  </w:style>
  <w:style w:type="character" w:customStyle="1" w:styleId="AZ-TBrandColorBlue3">
    <w:name w:val="AZ-T Brand Color Blue 3"/>
    <w:uiPriority w:val="1"/>
    <w:qFormat/>
    <w:rsid w:val="006C760F"/>
    <w:rPr>
      <w:color w:val="13A0D3"/>
    </w:rPr>
  </w:style>
  <w:style w:type="character" w:customStyle="1" w:styleId="Titolo2Carattere">
    <w:name w:val="Titolo 2 Carattere"/>
    <w:aliases w:val="AZ-P Headline Level 2 Carattere"/>
    <w:link w:val="Titolo2"/>
    <w:uiPriority w:val="9"/>
    <w:rsid w:val="009F69DD"/>
    <w:rPr>
      <w:rFonts w:ascii="Allianz Neo" w:eastAsia="Times New Roman" w:hAnsi="Allianz Neo" w:cs="Times New Roman"/>
      <w:b/>
      <w:color w:val="003781"/>
      <w:sz w:val="20"/>
      <w:szCs w:val="32"/>
      <w:lang w:val="en-GB"/>
    </w:rPr>
  </w:style>
  <w:style w:type="paragraph" w:customStyle="1" w:styleId="AZ-PSender">
    <w:name w:val="AZ-P Sender"/>
    <w:basedOn w:val="Normale"/>
    <w:qFormat/>
    <w:rsid w:val="00F77599"/>
  </w:style>
  <w:style w:type="paragraph" w:styleId="Intestazione">
    <w:name w:val="header"/>
    <w:basedOn w:val="Normale"/>
    <w:link w:val="IntestazioneCarattere"/>
    <w:uiPriority w:val="99"/>
    <w:semiHidden/>
    <w:rsid w:val="00F77599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rsid w:val="005A462F"/>
    <w:rPr>
      <w:sz w:val="30"/>
      <w:lang w:val="en-GB"/>
    </w:rPr>
  </w:style>
  <w:style w:type="paragraph" w:styleId="Pidipagina">
    <w:name w:val="footer"/>
    <w:aliases w:val="AT-P Footer"/>
    <w:basedOn w:val="Normale"/>
    <w:link w:val="PidipaginaCarattere"/>
    <w:uiPriority w:val="99"/>
    <w:rsid w:val="00070BAA"/>
    <w:pPr>
      <w:tabs>
        <w:tab w:val="center" w:pos="4536"/>
        <w:tab w:val="right" w:pos="9072"/>
      </w:tabs>
      <w:spacing w:line="180" w:lineRule="exact"/>
    </w:pPr>
    <w:rPr>
      <w:color w:val="003781"/>
      <w:sz w:val="14"/>
    </w:rPr>
  </w:style>
  <w:style w:type="character" w:customStyle="1" w:styleId="PidipaginaCarattere">
    <w:name w:val="Piè di pagina Carattere"/>
    <w:aliases w:val="AT-P Footer Carattere"/>
    <w:link w:val="Pidipagina"/>
    <w:uiPriority w:val="99"/>
    <w:rsid w:val="00070BAA"/>
    <w:rPr>
      <w:color w:val="003781"/>
      <w:sz w:val="14"/>
      <w:lang w:val="en-GB"/>
    </w:rPr>
  </w:style>
  <w:style w:type="paragraph" w:customStyle="1" w:styleId="AZ-PCompany">
    <w:name w:val="AZ-P Company"/>
    <w:basedOn w:val="Normale"/>
    <w:qFormat/>
    <w:rsid w:val="009F69DD"/>
    <w:pPr>
      <w:spacing w:after="360"/>
      <w:ind w:left="-1843"/>
    </w:pPr>
    <w:rPr>
      <w:rFonts w:ascii="Allianz Neo SemiBold" w:hAnsi="Allianz Neo SemiBold"/>
      <w:caps/>
      <w:color w:val="003781"/>
      <w:spacing w:val="12"/>
    </w:rPr>
  </w:style>
  <w:style w:type="character" w:styleId="Testosegnaposto">
    <w:name w:val="Placeholder Text"/>
    <w:uiPriority w:val="99"/>
    <w:semiHidden/>
    <w:rsid w:val="00C71E91"/>
    <w:rPr>
      <w:color w:val="808080"/>
    </w:rPr>
  </w:style>
  <w:style w:type="paragraph" w:customStyle="1" w:styleId="AZ-PDate">
    <w:name w:val="AZ-P Date"/>
    <w:basedOn w:val="AZ-PSender"/>
    <w:qFormat/>
    <w:rsid w:val="00C71E91"/>
  </w:style>
  <w:style w:type="paragraph" w:styleId="Sottotitolo">
    <w:name w:val="Subtitle"/>
    <w:aliases w:val="AZ-P Subtitle"/>
    <w:basedOn w:val="Normale"/>
    <w:next w:val="Normale"/>
    <w:link w:val="SottotitoloCarattere"/>
    <w:uiPriority w:val="11"/>
    <w:qFormat/>
    <w:rsid w:val="009F69DD"/>
    <w:pPr>
      <w:numPr>
        <w:ilvl w:val="1"/>
      </w:numPr>
      <w:spacing w:before="660" w:after="240" w:line="360" w:lineRule="exact"/>
    </w:pPr>
    <w:rPr>
      <w:rFonts w:eastAsia="Times New Roman"/>
      <w:b/>
      <w:color w:val="003781"/>
      <w:sz w:val="30"/>
      <w:szCs w:val="22"/>
    </w:rPr>
  </w:style>
  <w:style w:type="character" w:customStyle="1" w:styleId="SottotitoloCarattere">
    <w:name w:val="Sottotitolo Carattere"/>
    <w:aliases w:val="AZ-P Subtitle Carattere"/>
    <w:link w:val="Sottotitolo"/>
    <w:uiPriority w:val="11"/>
    <w:rsid w:val="009F69DD"/>
    <w:rPr>
      <w:rFonts w:eastAsia="Times New Roman"/>
      <w:b/>
      <w:color w:val="003781"/>
      <w:sz w:val="30"/>
      <w:szCs w:val="22"/>
      <w:lang w:val="en-GB"/>
    </w:rPr>
  </w:style>
  <w:style w:type="paragraph" w:customStyle="1" w:styleId="AZ-PList">
    <w:name w:val="AZ-P List"/>
    <w:basedOn w:val="Normale"/>
    <w:qFormat/>
    <w:rsid w:val="0049541C"/>
    <w:pPr>
      <w:numPr>
        <w:numId w:val="4"/>
      </w:numPr>
      <w:ind w:left="113" w:hanging="113"/>
    </w:pPr>
    <w:rPr>
      <w:color w:val="003781"/>
    </w:rPr>
  </w:style>
  <w:style w:type="table" w:styleId="Grigliatabella">
    <w:name w:val="Table Grid"/>
    <w:basedOn w:val="Tabellanormale"/>
    <w:uiPriority w:val="59"/>
    <w:rsid w:val="0072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Z-PSmall">
    <w:name w:val="AZ-P Small"/>
    <w:basedOn w:val="Normale"/>
    <w:qFormat/>
    <w:rsid w:val="00070BAA"/>
    <w:pPr>
      <w:spacing w:line="168" w:lineRule="exact"/>
    </w:pPr>
    <w:rPr>
      <w:color w:val="414141"/>
      <w:spacing w:val="1"/>
      <w:sz w:val="14"/>
    </w:rPr>
  </w:style>
  <w:style w:type="table" w:customStyle="1" w:styleId="AZPressContact">
    <w:name w:val="AZ PressContact"/>
    <w:basedOn w:val="Tabellanormale"/>
    <w:uiPriority w:val="99"/>
    <w:rsid w:val="0037149F"/>
    <w:pPr>
      <w:spacing w:line="260" w:lineRule="exact"/>
    </w:pPr>
    <w:rPr>
      <w:color w:val="003781"/>
    </w:rPr>
    <w:tblPr>
      <w:tblBorders>
        <w:top w:val="single" w:sz="4" w:space="0" w:color="003781"/>
        <w:bottom w:val="single" w:sz="4" w:space="0" w:color="003781"/>
      </w:tblBorders>
      <w:tblCellMar>
        <w:top w:w="312" w:type="dxa"/>
        <w:left w:w="0" w:type="dxa"/>
        <w:bottom w:w="312" w:type="dxa"/>
        <w:right w:w="0" w:type="dxa"/>
      </w:tblCellMar>
    </w:tblPr>
  </w:style>
  <w:style w:type="paragraph" w:customStyle="1" w:styleId="AZ-PHeadlineLevel2Small">
    <w:name w:val="AZ-P Headline Level 2 Small"/>
    <w:basedOn w:val="Titolo2"/>
    <w:qFormat/>
    <w:rsid w:val="00045A3B"/>
    <w:pPr>
      <w:pBdr>
        <w:top w:val="single" w:sz="4" w:space="12" w:color="003781"/>
      </w:pBdr>
      <w:spacing w:before="0"/>
    </w:pPr>
    <w:rPr>
      <w:sz w:val="14"/>
      <w:szCs w:val="14"/>
    </w:rPr>
  </w:style>
  <w:style w:type="character" w:styleId="Collegamentoipertestuale">
    <w:name w:val="Hyperlink"/>
    <w:basedOn w:val="Carpredefinitoparagrafo"/>
    <w:uiPriority w:val="99"/>
    <w:semiHidden/>
    <w:rsid w:val="00435EF6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6B65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B65E5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B65E5"/>
    <w:rPr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B65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65E5"/>
    <w:rPr>
      <w:b/>
      <w:bCs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6B65E5"/>
    <w:pPr>
      <w:spacing w:line="240" w:lineRule="auto"/>
    </w:pPr>
    <w:rPr>
      <w:rFonts w:ascii="Segoe UI" w:hAnsi="Segoe UI" w:cs="Segoe UI"/>
      <w:sz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5E5"/>
    <w:rPr>
      <w:rFonts w:ascii="Segoe UI" w:hAnsi="Segoe UI" w:cs="Segoe UI"/>
      <w:sz w:val="18"/>
      <w:szCs w:val="18"/>
      <w:lang w:val="en-GB" w:eastAsia="en-US"/>
    </w:rPr>
  </w:style>
  <w:style w:type="paragraph" w:styleId="Revisione">
    <w:name w:val="Revision"/>
    <w:hidden/>
    <w:uiPriority w:val="99"/>
    <w:semiHidden/>
    <w:rsid w:val="00683109"/>
    <w:rPr>
      <w:szCs w:val="18"/>
      <w:lang w:val="en-GB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1A21"/>
    <w:pPr>
      <w:spacing w:line="240" w:lineRule="auto"/>
    </w:pPr>
    <w:rPr>
      <w:rFonts w:asciiTheme="minorHAnsi" w:eastAsiaTheme="minorHAnsi" w:hAnsiTheme="minorHAnsi" w:cstheme="minorBidi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1A21"/>
    <w:rPr>
      <w:rFonts w:asciiTheme="minorHAnsi" w:eastAsiaTheme="minorHAnsi" w:hAnsiTheme="minorHAnsi" w:cstheme="minorBidi"/>
      <w:lang w:val="fr-FR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41A21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DA4E78"/>
    <w:pPr>
      <w:spacing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A4E78"/>
    <w:rPr>
      <w:rFonts w:ascii="Consolas" w:hAnsi="Consolas"/>
      <w:lang w:val="en-GB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linkedin.com/company/allianz-trade-itali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595AE9-7DF2-461D-BE51-E0B4DE42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1055</Words>
  <Characters>6018</Characters>
  <Application>Microsoft Office Word</Application>
  <DocSecurity>0</DocSecurity>
  <Lines>50</Lines>
  <Paragraphs>14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, docId:21C0112F31090E7807C1C125EE2C7C7F</cp:keywords>
  <dc:description/>
  <cp:lastModifiedBy/>
  <cp:revision>1</cp:revision>
  <dcterms:created xsi:type="dcterms:W3CDTF">2022-07-18T09:45:00Z</dcterms:created>
  <dcterms:modified xsi:type="dcterms:W3CDTF">2022-09-20T08:25:00Z</dcterms:modified>
  <cp:version/>
</cp:coreProperties>
</file>